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6FB074" w14:textId="77777777" w:rsidR="00D71944" w:rsidRDefault="006C5399" w:rsidP="006C5399">
      <w:pPr>
        <w:pStyle w:val="Title"/>
        <w:rPr>
          <w:sz w:val="52"/>
          <w:szCs w:val="52"/>
        </w:rPr>
      </w:pPr>
      <w:bookmarkStart w:id="0" w:name="_xberrptvmiml" w:colFirst="0" w:colLast="0"/>
      <w:bookmarkEnd w:id="0"/>
      <w:r>
        <w:rPr>
          <w:rFonts w:ascii="Fira Sans Black" w:eastAsia="Fira Sans Black" w:hAnsi="Fira Sans Black" w:cs="Fira Sans Black"/>
          <w:noProof/>
          <w:sz w:val="36"/>
          <w:szCs w:val="36"/>
        </w:rPr>
        <w:drawing>
          <wp:anchor distT="0" distB="0" distL="114300" distR="114300" simplePos="0" relativeHeight="251659264" behindDoc="0" locked="0" layoutInCell="1" allowOverlap="1" wp14:anchorId="6FF64F05" wp14:editId="6611D048">
            <wp:simplePos x="0" y="0"/>
            <wp:positionH relativeFrom="margin">
              <wp:align>center</wp:align>
            </wp:positionH>
            <wp:positionV relativeFrom="paragraph">
              <wp:posOffset>-577850</wp:posOffset>
            </wp:positionV>
            <wp:extent cx="2730592" cy="2095500"/>
            <wp:effectExtent l="0" t="0" r="0" b="0"/>
            <wp:wrapNone/>
            <wp:docPr id="4" name="Picture 4"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verl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0592" cy="2095500"/>
                    </a:xfrm>
                    <a:prstGeom prst="rect">
                      <a:avLst/>
                    </a:prstGeom>
                  </pic:spPr>
                </pic:pic>
              </a:graphicData>
            </a:graphic>
            <wp14:sizeRelH relativeFrom="page">
              <wp14:pctWidth>0</wp14:pctWidth>
            </wp14:sizeRelH>
            <wp14:sizeRelV relativeFrom="page">
              <wp14:pctHeight>0</wp14:pctHeight>
            </wp14:sizeRelV>
          </wp:anchor>
        </w:drawing>
      </w:r>
      <w:r w:rsidR="0033529E">
        <w:rPr>
          <w:rFonts w:ascii="Fira Sans Black" w:eastAsia="Fira Sans Black" w:hAnsi="Fira Sans Black" w:cs="Fira Sans Black"/>
          <w:sz w:val="36"/>
          <w:szCs w:val="36"/>
        </w:rPr>
        <w:br/>
      </w:r>
    </w:p>
    <w:p w14:paraId="7CE74007" w14:textId="77777777" w:rsidR="00D71944" w:rsidRDefault="00D71944" w:rsidP="006C5399">
      <w:pPr>
        <w:pStyle w:val="Title"/>
        <w:rPr>
          <w:sz w:val="52"/>
          <w:szCs w:val="52"/>
        </w:rPr>
      </w:pPr>
    </w:p>
    <w:p w14:paraId="0EB805C3" w14:textId="77777777" w:rsidR="00D71944" w:rsidRDefault="00D71944" w:rsidP="006C5399">
      <w:pPr>
        <w:pStyle w:val="Title"/>
        <w:rPr>
          <w:sz w:val="52"/>
          <w:szCs w:val="52"/>
        </w:rPr>
      </w:pPr>
    </w:p>
    <w:p w14:paraId="6198E1B2" w14:textId="77068996" w:rsidR="006C5399" w:rsidRPr="00085AA7" w:rsidRDefault="00085AA7" w:rsidP="00A04AEB">
      <w:pPr>
        <w:pStyle w:val="Title"/>
        <w:rPr>
          <w:sz w:val="36"/>
          <w:szCs w:val="36"/>
        </w:rPr>
      </w:pPr>
      <w:r w:rsidRPr="00A04AEB">
        <w:rPr>
          <w:sz w:val="48"/>
          <w:szCs w:val="48"/>
        </w:rPr>
        <w:t>Bursary</w:t>
      </w:r>
      <w:r w:rsidR="00A04AEB" w:rsidRPr="00A04AEB">
        <w:rPr>
          <w:sz w:val="48"/>
          <w:szCs w:val="48"/>
        </w:rPr>
        <w:t xml:space="preserve"> &amp; Free Meals in FE</w:t>
      </w:r>
      <w:r w:rsidRPr="00A04AEB">
        <w:rPr>
          <w:sz w:val="48"/>
          <w:szCs w:val="48"/>
        </w:rPr>
        <w:t xml:space="preserve"> </w:t>
      </w:r>
      <w:r w:rsidR="00D71944" w:rsidRPr="00A04AEB">
        <w:rPr>
          <w:sz w:val="48"/>
          <w:szCs w:val="48"/>
        </w:rPr>
        <w:t>Policy</w:t>
      </w:r>
    </w:p>
    <w:p w14:paraId="4C651724" w14:textId="705965DD" w:rsidR="00D71944" w:rsidRPr="00D71944" w:rsidRDefault="0033529E">
      <w:r>
        <w:rPr>
          <w:noProof/>
        </w:rPr>
        <w:drawing>
          <wp:anchor distT="114300" distB="114300" distL="114300" distR="114300" simplePos="0" relativeHeight="251658240" behindDoc="0" locked="0" layoutInCell="1" hidden="0" allowOverlap="1" wp14:anchorId="2DDE591A" wp14:editId="4731A0BC">
            <wp:simplePos x="0" y="0"/>
            <wp:positionH relativeFrom="page">
              <wp:align>right</wp:align>
            </wp:positionH>
            <wp:positionV relativeFrom="page">
              <wp:align>bottom</wp:align>
            </wp:positionV>
            <wp:extent cx="7572375" cy="6715735"/>
            <wp:effectExtent l="0" t="0" r="0" b="9525"/>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l="5259" t="5821" r="11538" b="32860"/>
                    <a:stretch>
                      <a:fillRect/>
                    </a:stretch>
                  </pic:blipFill>
                  <pic:spPr>
                    <a:xfrm>
                      <a:off x="0" y="0"/>
                      <a:ext cx="7572375" cy="6715735"/>
                    </a:xfrm>
                    <a:prstGeom prst="rect">
                      <a:avLst/>
                    </a:prstGeom>
                    <a:ln/>
                  </pic:spPr>
                </pic:pic>
              </a:graphicData>
            </a:graphic>
          </wp:anchor>
        </w:drawing>
      </w:r>
      <w:bookmarkStart w:id="1" w:name="_rtkq3r43l9qf" w:colFirst="0" w:colLast="0"/>
      <w:bookmarkEnd w:id="1"/>
    </w:p>
    <w:p w14:paraId="553E39C3" w14:textId="77777777" w:rsidR="00EF1CC0" w:rsidRDefault="00EF1CC0">
      <w:pPr>
        <w:rPr>
          <w:rFonts w:cstheme="minorHAnsi"/>
          <w:b/>
          <w:color w:val="auto"/>
          <w:sz w:val="22"/>
          <w:szCs w:val="32"/>
          <w:u w:val="single"/>
        </w:rPr>
      </w:pPr>
      <w:r>
        <w:rPr>
          <w:rFonts w:cstheme="minorHAnsi"/>
          <w:b/>
          <w:color w:val="auto"/>
          <w:sz w:val="22"/>
          <w:szCs w:val="32"/>
          <w:u w:val="single"/>
        </w:rPr>
        <w:br w:type="page"/>
      </w:r>
    </w:p>
    <w:p w14:paraId="2EDB0CC9" w14:textId="6845B504" w:rsidR="00EF1CC0" w:rsidRPr="00DE7AF1" w:rsidRDefault="00EF1CC0" w:rsidP="00EF1CC0">
      <w:pPr>
        <w:spacing w:before="0" w:after="0"/>
        <w:rPr>
          <w:rFonts w:cstheme="minorHAnsi"/>
          <w:b/>
          <w:color w:val="auto"/>
          <w:sz w:val="22"/>
          <w:szCs w:val="32"/>
          <w:u w:val="single"/>
        </w:rPr>
      </w:pPr>
      <w:r w:rsidRPr="00DE7AF1">
        <w:rPr>
          <w:rFonts w:cstheme="minorHAnsi"/>
          <w:b/>
          <w:color w:val="auto"/>
          <w:sz w:val="22"/>
          <w:szCs w:val="32"/>
          <w:u w:val="single"/>
        </w:rPr>
        <w:lastRenderedPageBreak/>
        <w:t>About this document:</w:t>
      </w:r>
    </w:p>
    <w:p w14:paraId="6AB7751D" w14:textId="77777777" w:rsidR="00767040" w:rsidRDefault="00EF1CC0" w:rsidP="00EF1CC0">
      <w:pPr>
        <w:widowControl w:val="0"/>
        <w:autoSpaceDE w:val="0"/>
        <w:autoSpaceDN w:val="0"/>
        <w:spacing w:before="44" w:after="0"/>
        <w:ind w:left="192" w:right="254"/>
        <w:rPr>
          <w:rFonts w:eastAsia="Calibri" w:cs="Calibri"/>
          <w:color w:val="000000"/>
          <w:sz w:val="22"/>
          <w:szCs w:val="18"/>
          <w:lang w:bidi="en-GB"/>
        </w:rPr>
      </w:pPr>
      <w:r w:rsidRPr="00DE7AF1">
        <w:rPr>
          <w:rFonts w:eastAsia="Arial" w:cstheme="minorHAnsi"/>
          <w:b/>
          <w:color w:val="auto"/>
          <w:sz w:val="24"/>
          <w:szCs w:val="28"/>
          <w:lang w:val="en-US" w:eastAsia="en-US"/>
        </w:rPr>
        <w:t xml:space="preserve">Purpose &amp; Scope: </w:t>
      </w:r>
    </w:p>
    <w:p w14:paraId="78CD6B52" w14:textId="79A20078" w:rsidR="00EF1CC0" w:rsidRDefault="00767040" w:rsidP="00A27D37">
      <w:pPr>
        <w:widowControl w:val="0"/>
        <w:autoSpaceDE w:val="0"/>
        <w:autoSpaceDN w:val="0"/>
        <w:spacing w:before="44" w:after="0"/>
        <w:ind w:left="192" w:right="254"/>
        <w:jc w:val="left"/>
        <w:rPr>
          <w:rFonts w:eastAsia="Calibri" w:cs="Calibri"/>
          <w:color w:val="000000"/>
          <w:sz w:val="22"/>
          <w:szCs w:val="18"/>
          <w:lang w:bidi="en-GB"/>
        </w:rPr>
      </w:pPr>
      <w:r w:rsidRPr="00767040">
        <w:rPr>
          <w:rFonts w:eastAsia="Calibri" w:cs="Calibri"/>
          <w:color w:val="000000"/>
          <w:sz w:val="22"/>
          <w:szCs w:val="18"/>
          <w:lang w:bidi="en-GB"/>
        </w:rPr>
        <w:t>This policy sets out the financial support available in 202</w:t>
      </w:r>
      <w:r w:rsidR="00A27D37">
        <w:rPr>
          <w:rFonts w:eastAsia="Calibri" w:cs="Calibri"/>
          <w:color w:val="000000"/>
          <w:sz w:val="22"/>
          <w:szCs w:val="18"/>
          <w:lang w:bidi="en-GB"/>
        </w:rPr>
        <w:t>4</w:t>
      </w:r>
      <w:r w:rsidRPr="00767040">
        <w:rPr>
          <w:rFonts w:eastAsia="Calibri" w:cs="Calibri"/>
          <w:color w:val="000000"/>
          <w:sz w:val="22"/>
          <w:szCs w:val="18"/>
          <w:lang w:bidi="en-GB"/>
        </w:rPr>
        <w:t>/2</w:t>
      </w:r>
      <w:r w:rsidR="00A27D37">
        <w:rPr>
          <w:rFonts w:eastAsia="Calibri" w:cs="Calibri"/>
          <w:color w:val="000000"/>
          <w:sz w:val="22"/>
          <w:szCs w:val="18"/>
          <w:lang w:bidi="en-GB"/>
        </w:rPr>
        <w:t>5</w:t>
      </w:r>
      <w:r w:rsidRPr="00767040">
        <w:rPr>
          <w:rFonts w:eastAsia="Calibri" w:cs="Calibri"/>
          <w:color w:val="000000"/>
          <w:sz w:val="22"/>
          <w:szCs w:val="18"/>
          <w:lang w:bidi="en-GB"/>
        </w:rPr>
        <w:t xml:space="preserve">; the eligibility criteria and the conditions for continuous receipt of Bursary support </w:t>
      </w:r>
      <w:r w:rsidR="00A27D37" w:rsidRPr="00767040">
        <w:rPr>
          <w:rFonts w:eastAsia="Calibri" w:cs="Calibri"/>
          <w:color w:val="000000"/>
          <w:sz w:val="22"/>
          <w:szCs w:val="18"/>
          <w:lang w:bidi="en-GB"/>
        </w:rPr>
        <w:t>for students</w:t>
      </w:r>
      <w:r w:rsidRPr="00767040">
        <w:rPr>
          <w:rFonts w:eastAsia="Calibri" w:cs="Calibri"/>
          <w:color w:val="000000"/>
          <w:sz w:val="22"/>
          <w:szCs w:val="18"/>
          <w:lang w:bidi="en-GB"/>
        </w:rPr>
        <w:t xml:space="preserve"> attending </w:t>
      </w:r>
      <w:r w:rsidR="00A27D37">
        <w:rPr>
          <w:rFonts w:eastAsia="Calibri" w:cs="Calibri"/>
          <w:color w:val="000000"/>
          <w:sz w:val="22"/>
          <w:szCs w:val="18"/>
          <w:lang w:bidi="en-GB"/>
        </w:rPr>
        <w:t>Creating Tomorrow</w:t>
      </w:r>
      <w:r w:rsidRPr="00767040">
        <w:rPr>
          <w:rFonts w:eastAsia="Calibri" w:cs="Calibri"/>
          <w:color w:val="000000"/>
          <w:sz w:val="22"/>
          <w:szCs w:val="18"/>
          <w:lang w:bidi="en-GB"/>
        </w:rPr>
        <w:t xml:space="preserve"> College</w:t>
      </w:r>
    </w:p>
    <w:p w14:paraId="1144DED9" w14:textId="77777777" w:rsidR="00EF1CC0" w:rsidRPr="0080520D" w:rsidRDefault="00EF1CC0" w:rsidP="00A27D37">
      <w:pPr>
        <w:widowControl w:val="0"/>
        <w:autoSpaceDE w:val="0"/>
        <w:autoSpaceDN w:val="0"/>
        <w:spacing w:before="44" w:after="0"/>
        <w:ind w:right="254"/>
        <w:rPr>
          <w:rFonts w:eastAsia="Calibri" w:cs="Calibri"/>
          <w:color w:val="000000"/>
          <w:sz w:val="22"/>
          <w:szCs w:val="18"/>
          <w:lang w:bidi="en-GB"/>
        </w:rPr>
      </w:pPr>
    </w:p>
    <w:p w14:paraId="7B9B17C1" w14:textId="77777777" w:rsidR="00EF1CC0" w:rsidRPr="0080520D" w:rsidRDefault="00EF1CC0" w:rsidP="00EF1CC0">
      <w:pPr>
        <w:widowControl w:val="0"/>
        <w:autoSpaceDE w:val="0"/>
        <w:autoSpaceDN w:val="0"/>
        <w:spacing w:after="0"/>
        <w:ind w:right="253"/>
        <w:rPr>
          <w:rFonts w:eastAsia="Calibri" w:cs="Calibri"/>
          <w:color w:val="000000"/>
          <w:sz w:val="24"/>
          <w:lang w:bidi="en-GB"/>
        </w:rPr>
      </w:pPr>
    </w:p>
    <w:tbl>
      <w:tblPr>
        <w:tblStyle w:val="TableGrid"/>
        <w:tblW w:w="0" w:type="auto"/>
        <w:jc w:val="center"/>
        <w:tblLook w:val="04A0" w:firstRow="1" w:lastRow="0" w:firstColumn="1" w:lastColumn="0" w:noHBand="0" w:noVBand="1"/>
      </w:tblPr>
      <w:tblGrid>
        <w:gridCol w:w="4522"/>
        <w:gridCol w:w="4497"/>
      </w:tblGrid>
      <w:tr w:rsidR="00EF1CC0" w:rsidRPr="00DE7AF1" w14:paraId="214EB3B0" w14:textId="77777777" w:rsidTr="00A04AEB">
        <w:trPr>
          <w:trHeight w:val="722"/>
          <w:jc w:val="center"/>
        </w:trPr>
        <w:tc>
          <w:tcPr>
            <w:tcW w:w="4522" w:type="dxa"/>
            <w:shd w:val="clear" w:color="auto" w:fill="DAEEF3" w:themeFill="accent5" w:themeFillTint="33"/>
          </w:tcPr>
          <w:p w14:paraId="07EB47C5" w14:textId="52EBFFCE" w:rsidR="00EF1CC0" w:rsidRPr="00DE7AF1" w:rsidRDefault="00EF1CC0" w:rsidP="009224FF">
            <w:pPr>
              <w:spacing w:before="100" w:beforeAutospacing="1" w:after="100" w:afterAutospacing="1"/>
              <w:rPr>
                <w:rFonts w:ascii="Montserrat" w:hAnsi="Montserrat" w:cstheme="minorHAnsi"/>
                <w:szCs w:val="28"/>
              </w:rPr>
            </w:pPr>
            <w:r w:rsidRPr="00DE7AF1">
              <w:rPr>
                <w:rFonts w:ascii="Montserrat" w:hAnsi="Montserrat" w:cstheme="minorHAnsi"/>
                <w:szCs w:val="28"/>
              </w:rPr>
              <w:t>Complied by:</w:t>
            </w:r>
            <w:r w:rsidR="00085AA7">
              <w:rPr>
                <w:rFonts w:ascii="Montserrat" w:hAnsi="Montserrat" w:cstheme="minorHAnsi"/>
                <w:szCs w:val="28"/>
              </w:rPr>
              <w:t xml:space="preserve"> Asia Malinowska</w:t>
            </w:r>
          </w:p>
        </w:tc>
        <w:tc>
          <w:tcPr>
            <w:tcW w:w="4497" w:type="dxa"/>
            <w:shd w:val="clear" w:color="auto" w:fill="DAEEF3" w:themeFill="accent5" w:themeFillTint="33"/>
          </w:tcPr>
          <w:p w14:paraId="682CFF65" w14:textId="13F145F1" w:rsidR="00EF1CC0" w:rsidRPr="00DE7AF1" w:rsidRDefault="00EF1CC0" w:rsidP="009224FF">
            <w:pPr>
              <w:spacing w:before="100" w:beforeAutospacing="1" w:after="100" w:afterAutospacing="1"/>
              <w:rPr>
                <w:rFonts w:ascii="Montserrat" w:hAnsi="Montserrat" w:cstheme="minorHAnsi"/>
                <w:szCs w:val="28"/>
              </w:rPr>
            </w:pPr>
            <w:r w:rsidRPr="00DE7AF1">
              <w:rPr>
                <w:rFonts w:ascii="Montserrat" w:hAnsi="Montserrat" w:cstheme="minorHAnsi"/>
                <w:szCs w:val="28"/>
              </w:rPr>
              <w:t xml:space="preserve">Date: </w:t>
            </w:r>
            <w:r w:rsidR="00A27D37">
              <w:rPr>
                <w:rFonts w:ascii="Montserrat" w:hAnsi="Montserrat" w:cstheme="minorHAnsi"/>
                <w:szCs w:val="28"/>
              </w:rPr>
              <w:t xml:space="preserve"> September 202</w:t>
            </w:r>
            <w:r w:rsidR="00503D10">
              <w:rPr>
                <w:rFonts w:ascii="Montserrat" w:hAnsi="Montserrat" w:cstheme="minorHAnsi"/>
                <w:szCs w:val="28"/>
              </w:rPr>
              <w:t>5</w:t>
            </w:r>
          </w:p>
        </w:tc>
      </w:tr>
      <w:tr w:rsidR="00EF1CC0" w:rsidRPr="00DE7AF1" w14:paraId="64950613" w14:textId="77777777" w:rsidTr="00A04AEB">
        <w:trPr>
          <w:trHeight w:val="753"/>
          <w:jc w:val="center"/>
        </w:trPr>
        <w:tc>
          <w:tcPr>
            <w:tcW w:w="4522" w:type="dxa"/>
            <w:shd w:val="clear" w:color="auto" w:fill="DAEEF3" w:themeFill="accent5" w:themeFillTint="33"/>
          </w:tcPr>
          <w:p w14:paraId="5FB692FD" w14:textId="090D5D45" w:rsidR="00EF1CC0" w:rsidRPr="00DE7AF1" w:rsidRDefault="00EF1CC0" w:rsidP="009224FF">
            <w:pPr>
              <w:spacing w:before="0"/>
              <w:rPr>
                <w:rFonts w:ascii="Montserrat" w:hAnsi="Montserrat" w:cstheme="minorHAnsi"/>
                <w:szCs w:val="28"/>
              </w:rPr>
            </w:pPr>
            <w:r w:rsidRPr="00DE7AF1">
              <w:rPr>
                <w:rFonts w:ascii="Montserrat" w:hAnsi="Montserrat" w:cstheme="minorHAnsi"/>
                <w:szCs w:val="28"/>
              </w:rPr>
              <w:t xml:space="preserve">Review Cycle: (annually, 2 years, 3 years): </w:t>
            </w:r>
            <w:r w:rsidR="00A27D37">
              <w:rPr>
                <w:rFonts w:ascii="Montserrat" w:hAnsi="Montserrat" w:cstheme="minorHAnsi"/>
                <w:szCs w:val="28"/>
              </w:rPr>
              <w:t>annually</w:t>
            </w:r>
          </w:p>
        </w:tc>
        <w:tc>
          <w:tcPr>
            <w:tcW w:w="4497" w:type="dxa"/>
            <w:shd w:val="clear" w:color="auto" w:fill="DAEEF3" w:themeFill="accent5" w:themeFillTint="33"/>
          </w:tcPr>
          <w:p w14:paraId="7A31D3BD" w14:textId="7E6A0C63" w:rsidR="00EF1CC0" w:rsidRPr="00DE7AF1" w:rsidRDefault="00EF1CC0" w:rsidP="009224FF">
            <w:pPr>
              <w:spacing w:before="100" w:beforeAutospacing="1" w:after="100" w:afterAutospacing="1"/>
              <w:rPr>
                <w:rFonts w:ascii="Montserrat" w:hAnsi="Montserrat" w:cstheme="minorHAnsi"/>
                <w:szCs w:val="28"/>
              </w:rPr>
            </w:pPr>
            <w:r w:rsidRPr="00DE7AF1">
              <w:rPr>
                <w:rFonts w:ascii="Montserrat" w:hAnsi="Montserrat" w:cstheme="minorHAnsi"/>
                <w:szCs w:val="28"/>
              </w:rPr>
              <w:t xml:space="preserve">Review Date: </w:t>
            </w:r>
            <w:r w:rsidR="00A27D37">
              <w:rPr>
                <w:rFonts w:ascii="Montserrat" w:hAnsi="Montserrat" w:cstheme="minorHAnsi"/>
                <w:szCs w:val="28"/>
              </w:rPr>
              <w:t>September 202</w:t>
            </w:r>
            <w:r w:rsidR="00503D10">
              <w:rPr>
                <w:rFonts w:ascii="Montserrat" w:hAnsi="Montserrat" w:cstheme="minorHAnsi"/>
                <w:szCs w:val="28"/>
              </w:rPr>
              <w:t>6</w:t>
            </w:r>
          </w:p>
        </w:tc>
      </w:tr>
    </w:tbl>
    <w:p w14:paraId="4416F007" w14:textId="77777777" w:rsidR="00EF1CC0" w:rsidRPr="00DE7AF1" w:rsidRDefault="00EF1CC0" w:rsidP="00EF1CC0">
      <w:pPr>
        <w:spacing w:after="0"/>
        <w:jc w:val="center"/>
        <w:rPr>
          <w:rFonts w:cstheme="minorHAnsi"/>
          <w:b/>
          <w:color w:val="242424"/>
          <w:sz w:val="32"/>
          <w:szCs w:val="32"/>
          <w:u w:val="single"/>
          <w:bdr w:val="none" w:sz="0" w:space="0" w:color="auto" w:frame="1"/>
        </w:rPr>
      </w:pPr>
    </w:p>
    <w:p w14:paraId="3F031050" w14:textId="77777777" w:rsidR="00EF1CC0" w:rsidRPr="00DE7AF1" w:rsidRDefault="00EF1CC0" w:rsidP="00EF1CC0">
      <w:pPr>
        <w:spacing w:after="0"/>
        <w:jc w:val="center"/>
        <w:rPr>
          <w:rFonts w:cstheme="minorHAnsi"/>
          <w:b/>
          <w:color w:val="242424"/>
          <w:sz w:val="32"/>
          <w:szCs w:val="32"/>
          <w:u w:val="single"/>
          <w:bdr w:val="none" w:sz="0" w:space="0" w:color="auto" w:frame="1"/>
        </w:rPr>
      </w:pPr>
      <w:r w:rsidRPr="00DE7AF1">
        <w:rPr>
          <w:rFonts w:cstheme="minorHAnsi"/>
          <w:b/>
          <w:color w:val="242424"/>
          <w:sz w:val="32"/>
          <w:szCs w:val="32"/>
          <w:u w:val="single"/>
          <w:bdr w:val="none" w:sz="0" w:space="0" w:color="auto" w:frame="1"/>
        </w:rPr>
        <w:t>Wellbeing in our Trust</w:t>
      </w:r>
    </w:p>
    <w:p w14:paraId="7395A9BF" w14:textId="77777777" w:rsidR="00EF1CC0" w:rsidRPr="00DE7AF1" w:rsidRDefault="00EF1CC0" w:rsidP="00EF1CC0">
      <w:pPr>
        <w:spacing w:after="0"/>
        <w:jc w:val="left"/>
        <w:rPr>
          <w:rFonts w:cstheme="minorHAnsi"/>
          <w:color w:val="242424"/>
          <w:sz w:val="22"/>
          <w:szCs w:val="22"/>
        </w:rPr>
      </w:pPr>
      <w:r w:rsidRPr="00DE7AF1">
        <w:rPr>
          <w:rFonts w:cstheme="minorHAnsi"/>
          <w:color w:val="242424"/>
          <w:sz w:val="22"/>
          <w:szCs w:val="22"/>
          <w:bdr w:val="none" w:sz="0" w:space="0" w:color="auto" w:frame="1"/>
        </w:rPr>
        <w:t>We may all be affected by poor physical and mental health at times during our lives and it is important the appropriate support is available in a timely manner.</w:t>
      </w:r>
    </w:p>
    <w:p w14:paraId="4F9DF8AD" w14:textId="77777777" w:rsidR="00EF1CC0" w:rsidRPr="00DE7AF1" w:rsidRDefault="00EF1CC0" w:rsidP="00EF1CC0">
      <w:pPr>
        <w:spacing w:after="0"/>
        <w:jc w:val="left"/>
        <w:rPr>
          <w:rFonts w:cstheme="minorHAnsi"/>
          <w:color w:val="242424"/>
          <w:sz w:val="22"/>
          <w:szCs w:val="22"/>
        </w:rPr>
      </w:pPr>
      <w:r w:rsidRPr="00DE7AF1">
        <w:rPr>
          <w:rFonts w:cstheme="minorHAnsi"/>
          <w:color w:val="242424"/>
          <w:sz w:val="22"/>
          <w:szCs w:val="22"/>
          <w:bdr w:val="none" w:sz="0" w:space="0" w:color="auto" w:frame="1"/>
        </w:rPr>
        <w:t>Health and wellbeing is everyone’s responsibility and we encourage an open and honest culture whereby anyone can discuss any issues they may have.</w:t>
      </w:r>
    </w:p>
    <w:p w14:paraId="7A59DB16" w14:textId="77777777" w:rsidR="00EF1CC0" w:rsidRPr="00DE7AF1" w:rsidRDefault="00EF1CC0" w:rsidP="00EF1CC0">
      <w:pPr>
        <w:spacing w:after="0"/>
        <w:jc w:val="left"/>
        <w:rPr>
          <w:rFonts w:cstheme="minorHAnsi"/>
          <w:color w:val="242424"/>
          <w:sz w:val="22"/>
          <w:szCs w:val="22"/>
          <w:bdr w:val="none" w:sz="0" w:space="0" w:color="auto" w:frame="1"/>
        </w:rPr>
      </w:pPr>
      <w:r w:rsidRPr="00DE7AF1">
        <w:rPr>
          <w:rFonts w:cstheme="minorHAnsi"/>
          <w:color w:val="242424"/>
          <w:sz w:val="22"/>
          <w:szCs w:val="22"/>
          <w:bdr w:val="none" w:sz="0" w:space="0" w:color="auto" w:frame="1"/>
        </w:rPr>
        <w:t>The Trustees of Creating Tomorrow take the health and wellbeing of all employees seriously and are committed to supporting our staff. The Trustees ensure that support for staff is available through:</w:t>
      </w:r>
    </w:p>
    <w:p w14:paraId="6436DDD1" w14:textId="77777777" w:rsidR="00EF1CC0" w:rsidRPr="00DE7AF1" w:rsidRDefault="00EF1CC0" w:rsidP="00EF1CC0">
      <w:pPr>
        <w:spacing w:after="0"/>
        <w:jc w:val="left"/>
        <w:rPr>
          <w:rFonts w:cstheme="minorHAnsi"/>
          <w:color w:val="242424"/>
          <w:sz w:val="22"/>
          <w:szCs w:val="22"/>
        </w:rPr>
      </w:pPr>
    </w:p>
    <w:p w14:paraId="27E87A76" w14:textId="77777777" w:rsidR="00EF1CC0" w:rsidRPr="00DE7AF1" w:rsidRDefault="00EF1CC0" w:rsidP="00EF1CC0">
      <w:pPr>
        <w:numPr>
          <w:ilvl w:val="0"/>
          <w:numId w:val="1"/>
        </w:numPr>
        <w:tabs>
          <w:tab w:val="clear" w:pos="9025"/>
        </w:tabs>
        <w:spacing w:before="0" w:after="0" w:line="252" w:lineRule="atLeast"/>
        <w:jc w:val="left"/>
        <w:rPr>
          <w:rFonts w:cstheme="minorHAnsi"/>
          <w:color w:val="242424"/>
          <w:sz w:val="22"/>
          <w:szCs w:val="22"/>
        </w:rPr>
      </w:pPr>
      <w:r w:rsidRPr="00DE7AF1">
        <w:rPr>
          <w:rFonts w:cstheme="minorHAnsi"/>
          <w:color w:val="242424"/>
          <w:sz w:val="22"/>
          <w:szCs w:val="22"/>
          <w:bdr w:val="none" w:sz="0" w:space="0" w:color="auto" w:frame="1"/>
        </w:rPr>
        <w:t>Effective line management</w:t>
      </w:r>
    </w:p>
    <w:p w14:paraId="1CAECB0C" w14:textId="77777777" w:rsidR="00EF1CC0" w:rsidRPr="00DE7AF1" w:rsidRDefault="00EF1CC0" w:rsidP="00EF1CC0">
      <w:pPr>
        <w:numPr>
          <w:ilvl w:val="0"/>
          <w:numId w:val="1"/>
        </w:numPr>
        <w:tabs>
          <w:tab w:val="clear" w:pos="9025"/>
        </w:tabs>
        <w:spacing w:before="0" w:after="0" w:line="240" w:lineRule="auto"/>
        <w:jc w:val="left"/>
        <w:rPr>
          <w:rFonts w:cstheme="minorHAnsi"/>
          <w:color w:val="242424"/>
          <w:sz w:val="22"/>
          <w:szCs w:val="22"/>
        </w:rPr>
      </w:pPr>
      <w:r w:rsidRPr="00DE7AF1">
        <w:rPr>
          <w:rFonts w:cstheme="minorHAnsi"/>
          <w:color w:val="242424"/>
          <w:sz w:val="22"/>
          <w:szCs w:val="22"/>
          <w:bdr w:val="none" w:sz="0" w:space="0" w:color="auto" w:frame="1"/>
        </w:rPr>
        <w:t>Commitment to reducing workload</w:t>
      </w:r>
    </w:p>
    <w:p w14:paraId="78B05E74" w14:textId="77777777" w:rsidR="00EF1CC0" w:rsidRPr="00DE7AF1" w:rsidRDefault="00EF1CC0" w:rsidP="00EF1CC0">
      <w:pPr>
        <w:numPr>
          <w:ilvl w:val="0"/>
          <w:numId w:val="1"/>
        </w:numPr>
        <w:tabs>
          <w:tab w:val="clear" w:pos="9025"/>
        </w:tabs>
        <w:spacing w:before="0" w:after="0" w:line="240" w:lineRule="auto"/>
        <w:jc w:val="left"/>
        <w:rPr>
          <w:rFonts w:cstheme="minorHAnsi"/>
          <w:color w:val="242424"/>
          <w:sz w:val="22"/>
          <w:szCs w:val="22"/>
        </w:rPr>
      </w:pPr>
      <w:r w:rsidRPr="00DE7AF1">
        <w:rPr>
          <w:rFonts w:cstheme="minorHAnsi"/>
          <w:color w:val="242424"/>
          <w:sz w:val="22"/>
          <w:szCs w:val="22"/>
          <w:bdr w:val="none" w:sz="0" w:space="0" w:color="auto" w:frame="1"/>
        </w:rPr>
        <w:t>Supportive and professional working environments</w:t>
      </w:r>
    </w:p>
    <w:p w14:paraId="212472D7" w14:textId="77777777" w:rsidR="00EF1CC0" w:rsidRPr="00DE7AF1" w:rsidRDefault="00EF1CC0" w:rsidP="00EF1CC0">
      <w:pPr>
        <w:numPr>
          <w:ilvl w:val="0"/>
          <w:numId w:val="1"/>
        </w:numPr>
        <w:tabs>
          <w:tab w:val="clear" w:pos="9025"/>
        </w:tabs>
        <w:spacing w:before="0" w:after="0" w:line="252" w:lineRule="atLeast"/>
        <w:jc w:val="left"/>
        <w:rPr>
          <w:rFonts w:cstheme="minorHAnsi"/>
          <w:color w:val="242424"/>
          <w:sz w:val="22"/>
          <w:szCs w:val="22"/>
        </w:rPr>
      </w:pPr>
      <w:r w:rsidRPr="00DE7AF1">
        <w:rPr>
          <w:rFonts w:cstheme="minorHAnsi"/>
          <w:color w:val="242424"/>
          <w:sz w:val="22"/>
          <w:szCs w:val="22"/>
          <w:bdr w:val="none" w:sz="0" w:space="0" w:color="auto" w:frame="1"/>
        </w:rPr>
        <w:t>Employee support programs</w:t>
      </w:r>
    </w:p>
    <w:p w14:paraId="0E566EC3" w14:textId="77777777" w:rsidR="00EF1CC0" w:rsidRPr="00DE7AF1" w:rsidRDefault="00EF1CC0" w:rsidP="00EF1CC0">
      <w:pPr>
        <w:numPr>
          <w:ilvl w:val="1"/>
          <w:numId w:val="1"/>
        </w:numPr>
        <w:tabs>
          <w:tab w:val="clear" w:pos="9025"/>
        </w:tabs>
        <w:spacing w:before="0" w:after="0" w:line="252" w:lineRule="atLeast"/>
        <w:jc w:val="left"/>
        <w:rPr>
          <w:rFonts w:cstheme="minorHAnsi"/>
          <w:color w:val="242424"/>
          <w:sz w:val="22"/>
          <w:szCs w:val="22"/>
        </w:rPr>
      </w:pPr>
      <w:r w:rsidRPr="00DE7AF1">
        <w:rPr>
          <w:rFonts w:cstheme="minorHAnsi"/>
          <w:color w:val="242424"/>
          <w:sz w:val="22"/>
          <w:szCs w:val="22"/>
          <w:bdr w:val="none" w:sz="0" w:space="0" w:color="auto" w:frame="1"/>
        </w:rPr>
        <w:t>Health Assure (confidential counselling support available through Perkbox account).</w:t>
      </w:r>
    </w:p>
    <w:p w14:paraId="24E3DB59" w14:textId="77777777" w:rsidR="00EF1CC0" w:rsidRPr="00DE7AF1" w:rsidRDefault="00EF1CC0" w:rsidP="00EF1CC0">
      <w:pPr>
        <w:numPr>
          <w:ilvl w:val="1"/>
          <w:numId w:val="1"/>
        </w:numPr>
        <w:tabs>
          <w:tab w:val="clear" w:pos="9025"/>
        </w:tabs>
        <w:spacing w:before="0" w:after="0" w:line="240" w:lineRule="auto"/>
        <w:jc w:val="left"/>
        <w:rPr>
          <w:rFonts w:cstheme="minorHAnsi"/>
          <w:color w:val="242424"/>
          <w:sz w:val="22"/>
          <w:szCs w:val="22"/>
        </w:rPr>
      </w:pPr>
      <w:r w:rsidRPr="00DE7AF1">
        <w:rPr>
          <w:rFonts w:cstheme="minorHAnsi"/>
          <w:color w:val="242424"/>
          <w:sz w:val="22"/>
          <w:szCs w:val="22"/>
          <w:bdr w:val="none" w:sz="0" w:space="0" w:color="auto" w:frame="1"/>
        </w:rPr>
        <w:t>Education Support: telephone number 08000 562561 or website </w:t>
      </w:r>
      <w:hyperlink r:id="rId13" w:tgtFrame="_blank" w:tooltip="Original URL: http://www.educationsupport.org.uk/. Click or tap if you trust this link." w:history="1">
        <w:r w:rsidRPr="00DE7AF1">
          <w:rPr>
            <w:rFonts w:cstheme="minorHAnsi"/>
            <w:color w:val="0563C1"/>
            <w:sz w:val="22"/>
            <w:szCs w:val="22"/>
            <w:u w:val="single"/>
            <w:bdr w:val="none" w:sz="0" w:space="0" w:color="auto" w:frame="1"/>
          </w:rPr>
          <w:t>www.educationsupport.org.uk</w:t>
        </w:r>
      </w:hyperlink>
    </w:p>
    <w:p w14:paraId="68EA307D" w14:textId="77777777" w:rsidR="00EF1CC0" w:rsidRDefault="00EF1CC0">
      <w:pPr>
        <w:pStyle w:val="Heading1"/>
      </w:pPr>
    </w:p>
    <w:p w14:paraId="0B1C85D3" w14:textId="55F038B8" w:rsidR="00085AA7" w:rsidRPr="00A04AEB" w:rsidRDefault="00EF1CC0" w:rsidP="00A04AEB">
      <w:pPr>
        <w:rPr>
          <w:b/>
          <w:color w:val="345D9D"/>
          <w:sz w:val="36"/>
          <w:szCs w:val="36"/>
        </w:rPr>
      </w:pPr>
      <w:r>
        <w:br w:type="page"/>
      </w:r>
    </w:p>
    <w:p w14:paraId="1768C6A2" w14:textId="05939DE1" w:rsidR="00C63058" w:rsidRDefault="0033529E">
      <w:pPr>
        <w:pStyle w:val="Heading1"/>
      </w:pPr>
      <w:bookmarkStart w:id="2" w:name="_Toc181292957"/>
      <w:r>
        <w:lastRenderedPageBreak/>
        <w:t>Contents</w:t>
      </w:r>
      <w:bookmarkEnd w:id="2"/>
    </w:p>
    <w:sdt>
      <w:sdtPr>
        <w:id w:val="-929659685"/>
        <w:docPartObj>
          <w:docPartGallery w:val="Table of Contents"/>
          <w:docPartUnique/>
        </w:docPartObj>
      </w:sdtPr>
      <w:sdtContent>
        <w:p w14:paraId="3E9A2ECB" w14:textId="25870E5D" w:rsidR="001A17B3" w:rsidRDefault="0033529E">
          <w:pPr>
            <w:pStyle w:val="TOC1"/>
            <w:tabs>
              <w:tab w:val="right" w:pos="9019"/>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\h \u \z </w:instrText>
          </w:r>
          <w:r>
            <w:fldChar w:fldCharType="separate"/>
          </w:r>
          <w:hyperlink w:anchor="_Toc181292957" w:history="1">
            <w:r w:rsidR="001A17B3" w:rsidRPr="00B72816">
              <w:rPr>
                <w:rStyle w:val="Hyperlink"/>
                <w:noProof/>
              </w:rPr>
              <w:t>Contents</w:t>
            </w:r>
            <w:r w:rsidR="001A17B3">
              <w:rPr>
                <w:noProof/>
                <w:webHidden/>
              </w:rPr>
              <w:tab/>
            </w:r>
            <w:r w:rsidR="001A17B3">
              <w:rPr>
                <w:noProof/>
                <w:webHidden/>
              </w:rPr>
              <w:fldChar w:fldCharType="begin"/>
            </w:r>
            <w:r w:rsidR="001A17B3">
              <w:rPr>
                <w:noProof/>
                <w:webHidden/>
              </w:rPr>
              <w:instrText xml:space="preserve"> PAGEREF _Toc181292957 \h </w:instrText>
            </w:r>
            <w:r w:rsidR="001A17B3">
              <w:rPr>
                <w:noProof/>
                <w:webHidden/>
              </w:rPr>
            </w:r>
            <w:r w:rsidR="001A17B3">
              <w:rPr>
                <w:noProof/>
                <w:webHidden/>
              </w:rPr>
              <w:fldChar w:fldCharType="separate"/>
            </w:r>
            <w:r w:rsidR="00C860B7">
              <w:rPr>
                <w:noProof/>
                <w:webHidden/>
              </w:rPr>
              <w:t>2</w:t>
            </w:r>
            <w:r w:rsidR="001A17B3">
              <w:rPr>
                <w:noProof/>
                <w:webHidden/>
              </w:rPr>
              <w:fldChar w:fldCharType="end"/>
            </w:r>
          </w:hyperlink>
        </w:p>
        <w:p w14:paraId="3C01F1C5" w14:textId="2FBEC592" w:rsidR="001A17B3" w:rsidRDefault="001A17B3">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81292958" w:history="1">
            <w:r w:rsidRPr="00B72816">
              <w:rPr>
                <w:rStyle w:val="Hyperlink"/>
                <w:noProof/>
              </w:rPr>
              <w:t>Induction and Overview</w:t>
            </w:r>
            <w:r>
              <w:rPr>
                <w:noProof/>
                <w:webHidden/>
              </w:rPr>
              <w:tab/>
            </w:r>
            <w:r>
              <w:rPr>
                <w:noProof/>
                <w:webHidden/>
              </w:rPr>
              <w:fldChar w:fldCharType="begin"/>
            </w:r>
            <w:r>
              <w:rPr>
                <w:noProof/>
                <w:webHidden/>
              </w:rPr>
              <w:instrText xml:space="preserve"> PAGEREF _Toc181292958 \h </w:instrText>
            </w:r>
            <w:r>
              <w:rPr>
                <w:noProof/>
                <w:webHidden/>
              </w:rPr>
            </w:r>
            <w:r>
              <w:rPr>
                <w:noProof/>
                <w:webHidden/>
              </w:rPr>
              <w:fldChar w:fldCharType="separate"/>
            </w:r>
            <w:r w:rsidR="00C860B7">
              <w:rPr>
                <w:noProof/>
                <w:webHidden/>
              </w:rPr>
              <w:t>3</w:t>
            </w:r>
            <w:r>
              <w:rPr>
                <w:noProof/>
                <w:webHidden/>
              </w:rPr>
              <w:fldChar w:fldCharType="end"/>
            </w:r>
          </w:hyperlink>
        </w:p>
        <w:p w14:paraId="31A4EC1B" w14:textId="69D35440" w:rsidR="001A17B3" w:rsidRDefault="001A17B3">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81292959" w:history="1">
            <w:r w:rsidRPr="00B72816">
              <w:rPr>
                <w:rStyle w:val="Hyperlink"/>
                <w:noProof/>
              </w:rPr>
              <w:t>Bursary Categories</w:t>
            </w:r>
            <w:r>
              <w:rPr>
                <w:noProof/>
                <w:webHidden/>
              </w:rPr>
              <w:tab/>
            </w:r>
            <w:r>
              <w:rPr>
                <w:noProof/>
                <w:webHidden/>
              </w:rPr>
              <w:fldChar w:fldCharType="begin"/>
            </w:r>
            <w:r>
              <w:rPr>
                <w:noProof/>
                <w:webHidden/>
              </w:rPr>
              <w:instrText xml:space="preserve"> PAGEREF _Toc181292959 \h </w:instrText>
            </w:r>
            <w:r>
              <w:rPr>
                <w:noProof/>
                <w:webHidden/>
              </w:rPr>
            </w:r>
            <w:r>
              <w:rPr>
                <w:noProof/>
                <w:webHidden/>
              </w:rPr>
              <w:fldChar w:fldCharType="separate"/>
            </w:r>
            <w:r w:rsidR="00C860B7">
              <w:rPr>
                <w:noProof/>
                <w:webHidden/>
              </w:rPr>
              <w:t>3</w:t>
            </w:r>
            <w:r>
              <w:rPr>
                <w:noProof/>
                <w:webHidden/>
              </w:rPr>
              <w:fldChar w:fldCharType="end"/>
            </w:r>
          </w:hyperlink>
        </w:p>
        <w:p w14:paraId="1F02A3F9" w14:textId="11414A43" w:rsidR="001A17B3" w:rsidRDefault="001A17B3">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81292960" w:history="1">
            <w:r w:rsidRPr="00B72816">
              <w:rPr>
                <w:rStyle w:val="Hyperlink"/>
                <w:noProof/>
              </w:rPr>
              <w:t>Bursary Payments</w:t>
            </w:r>
            <w:r>
              <w:rPr>
                <w:noProof/>
                <w:webHidden/>
              </w:rPr>
              <w:tab/>
            </w:r>
            <w:r>
              <w:rPr>
                <w:noProof/>
                <w:webHidden/>
              </w:rPr>
              <w:fldChar w:fldCharType="begin"/>
            </w:r>
            <w:r>
              <w:rPr>
                <w:noProof/>
                <w:webHidden/>
              </w:rPr>
              <w:instrText xml:space="preserve"> PAGEREF _Toc181292960 \h </w:instrText>
            </w:r>
            <w:r>
              <w:rPr>
                <w:noProof/>
                <w:webHidden/>
              </w:rPr>
            </w:r>
            <w:r>
              <w:rPr>
                <w:noProof/>
                <w:webHidden/>
              </w:rPr>
              <w:fldChar w:fldCharType="separate"/>
            </w:r>
            <w:r w:rsidR="00C860B7">
              <w:rPr>
                <w:noProof/>
                <w:webHidden/>
              </w:rPr>
              <w:t>4</w:t>
            </w:r>
            <w:r>
              <w:rPr>
                <w:noProof/>
                <w:webHidden/>
              </w:rPr>
              <w:fldChar w:fldCharType="end"/>
            </w:r>
          </w:hyperlink>
        </w:p>
        <w:p w14:paraId="43594AF8" w14:textId="46F7B6E5" w:rsidR="001A17B3" w:rsidRDefault="001A17B3">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81292961" w:history="1">
            <w:r w:rsidRPr="00B72816">
              <w:rPr>
                <w:rStyle w:val="Hyperlink"/>
                <w:noProof/>
              </w:rPr>
              <w:t>Free Meals in FE</w:t>
            </w:r>
            <w:r>
              <w:rPr>
                <w:noProof/>
                <w:webHidden/>
              </w:rPr>
              <w:tab/>
            </w:r>
            <w:r>
              <w:rPr>
                <w:noProof/>
                <w:webHidden/>
              </w:rPr>
              <w:fldChar w:fldCharType="begin"/>
            </w:r>
            <w:r>
              <w:rPr>
                <w:noProof/>
                <w:webHidden/>
              </w:rPr>
              <w:instrText xml:space="preserve"> PAGEREF _Toc181292961 \h </w:instrText>
            </w:r>
            <w:r>
              <w:rPr>
                <w:noProof/>
                <w:webHidden/>
              </w:rPr>
            </w:r>
            <w:r>
              <w:rPr>
                <w:noProof/>
                <w:webHidden/>
              </w:rPr>
              <w:fldChar w:fldCharType="separate"/>
            </w:r>
            <w:r w:rsidR="00C860B7">
              <w:rPr>
                <w:noProof/>
                <w:webHidden/>
              </w:rPr>
              <w:t>5</w:t>
            </w:r>
            <w:r>
              <w:rPr>
                <w:noProof/>
                <w:webHidden/>
              </w:rPr>
              <w:fldChar w:fldCharType="end"/>
            </w:r>
          </w:hyperlink>
        </w:p>
        <w:p w14:paraId="539DD8D2" w14:textId="5CB12922" w:rsidR="001A17B3" w:rsidRDefault="001A17B3">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81292962" w:history="1">
            <w:r w:rsidRPr="00B72816">
              <w:rPr>
                <w:rStyle w:val="Hyperlink"/>
                <w:noProof/>
              </w:rPr>
              <w:t>Applications, Assessment &amp; Outcome</w:t>
            </w:r>
            <w:r>
              <w:rPr>
                <w:noProof/>
                <w:webHidden/>
              </w:rPr>
              <w:tab/>
            </w:r>
            <w:r>
              <w:rPr>
                <w:noProof/>
                <w:webHidden/>
              </w:rPr>
              <w:fldChar w:fldCharType="begin"/>
            </w:r>
            <w:r>
              <w:rPr>
                <w:noProof/>
                <w:webHidden/>
              </w:rPr>
              <w:instrText xml:space="preserve"> PAGEREF _Toc181292962 \h </w:instrText>
            </w:r>
            <w:r>
              <w:rPr>
                <w:noProof/>
                <w:webHidden/>
              </w:rPr>
            </w:r>
            <w:r>
              <w:rPr>
                <w:noProof/>
                <w:webHidden/>
              </w:rPr>
              <w:fldChar w:fldCharType="separate"/>
            </w:r>
            <w:r w:rsidR="00C860B7">
              <w:rPr>
                <w:noProof/>
                <w:webHidden/>
              </w:rPr>
              <w:t>6</w:t>
            </w:r>
            <w:r>
              <w:rPr>
                <w:noProof/>
                <w:webHidden/>
              </w:rPr>
              <w:fldChar w:fldCharType="end"/>
            </w:r>
          </w:hyperlink>
        </w:p>
        <w:p w14:paraId="6993CA20" w14:textId="45087748" w:rsidR="001A17B3" w:rsidRDefault="001A17B3">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81292963" w:history="1">
            <w:r w:rsidRPr="00B72816">
              <w:rPr>
                <w:rStyle w:val="Hyperlink"/>
                <w:noProof/>
              </w:rPr>
              <w:t>Affecting Other Benefits</w:t>
            </w:r>
            <w:r>
              <w:rPr>
                <w:noProof/>
                <w:webHidden/>
              </w:rPr>
              <w:tab/>
            </w:r>
            <w:r>
              <w:rPr>
                <w:noProof/>
                <w:webHidden/>
              </w:rPr>
              <w:fldChar w:fldCharType="begin"/>
            </w:r>
            <w:r>
              <w:rPr>
                <w:noProof/>
                <w:webHidden/>
              </w:rPr>
              <w:instrText xml:space="preserve"> PAGEREF _Toc181292963 \h </w:instrText>
            </w:r>
            <w:r>
              <w:rPr>
                <w:noProof/>
                <w:webHidden/>
              </w:rPr>
            </w:r>
            <w:r>
              <w:rPr>
                <w:noProof/>
                <w:webHidden/>
              </w:rPr>
              <w:fldChar w:fldCharType="separate"/>
            </w:r>
            <w:r w:rsidR="00C860B7">
              <w:rPr>
                <w:noProof/>
                <w:webHidden/>
              </w:rPr>
              <w:t>7</w:t>
            </w:r>
            <w:r>
              <w:rPr>
                <w:noProof/>
                <w:webHidden/>
              </w:rPr>
              <w:fldChar w:fldCharType="end"/>
            </w:r>
          </w:hyperlink>
        </w:p>
        <w:p w14:paraId="65BE25A8" w14:textId="31A9AC3E" w:rsidR="001A17B3" w:rsidRDefault="001A17B3">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81292964" w:history="1">
            <w:r w:rsidRPr="00B72816">
              <w:rPr>
                <w:rStyle w:val="Hyperlink"/>
                <w:noProof/>
              </w:rPr>
              <w:t>Payment of Funds</w:t>
            </w:r>
            <w:r>
              <w:rPr>
                <w:noProof/>
                <w:webHidden/>
              </w:rPr>
              <w:tab/>
            </w:r>
            <w:r>
              <w:rPr>
                <w:noProof/>
                <w:webHidden/>
              </w:rPr>
              <w:fldChar w:fldCharType="begin"/>
            </w:r>
            <w:r>
              <w:rPr>
                <w:noProof/>
                <w:webHidden/>
              </w:rPr>
              <w:instrText xml:space="preserve"> PAGEREF _Toc181292964 \h </w:instrText>
            </w:r>
            <w:r>
              <w:rPr>
                <w:noProof/>
                <w:webHidden/>
              </w:rPr>
            </w:r>
            <w:r>
              <w:rPr>
                <w:noProof/>
                <w:webHidden/>
              </w:rPr>
              <w:fldChar w:fldCharType="separate"/>
            </w:r>
            <w:r w:rsidR="00C860B7">
              <w:rPr>
                <w:noProof/>
                <w:webHidden/>
              </w:rPr>
              <w:t>7</w:t>
            </w:r>
            <w:r>
              <w:rPr>
                <w:noProof/>
                <w:webHidden/>
              </w:rPr>
              <w:fldChar w:fldCharType="end"/>
            </w:r>
          </w:hyperlink>
        </w:p>
        <w:p w14:paraId="4AB79DC9" w14:textId="4D849191" w:rsidR="001A17B3" w:rsidRDefault="001A17B3">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81292965" w:history="1">
            <w:r w:rsidRPr="00B72816">
              <w:rPr>
                <w:rStyle w:val="Hyperlink"/>
                <w:noProof/>
              </w:rPr>
              <w:t>Support</w:t>
            </w:r>
            <w:r>
              <w:rPr>
                <w:noProof/>
                <w:webHidden/>
              </w:rPr>
              <w:tab/>
            </w:r>
            <w:r>
              <w:rPr>
                <w:noProof/>
                <w:webHidden/>
              </w:rPr>
              <w:fldChar w:fldCharType="begin"/>
            </w:r>
            <w:r>
              <w:rPr>
                <w:noProof/>
                <w:webHidden/>
              </w:rPr>
              <w:instrText xml:space="preserve"> PAGEREF _Toc181292965 \h </w:instrText>
            </w:r>
            <w:r>
              <w:rPr>
                <w:noProof/>
                <w:webHidden/>
              </w:rPr>
            </w:r>
            <w:r>
              <w:rPr>
                <w:noProof/>
                <w:webHidden/>
              </w:rPr>
              <w:fldChar w:fldCharType="separate"/>
            </w:r>
            <w:r w:rsidR="00C860B7">
              <w:rPr>
                <w:noProof/>
                <w:webHidden/>
              </w:rPr>
              <w:t>8</w:t>
            </w:r>
            <w:r>
              <w:rPr>
                <w:noProof/>
                <w:webHidden/>
              </w:rPr>
              <w:fldChar w:fldCharType="end"/>
            </w:r>
          </w:hyperlink>
        </w:p>
        <w:p w14:paraId="012CF640" w14:textId="038079FE" w:rsidR="001A17B3" w:rsidRDefault="001A17B3">
          <w:pPr>
            <w:pStyle w:val="TOC3"/>
            <w:tabs>
              <w:tab w:val="right" w:pos="9019"/>
            </w:tabs>
            <w:rPr>
              <w:rFonts w:asciiTheme="minorHAnsi" w:eastAsiaTheme="minorEastAsia" w:hAnsiTheme="minorHAnsi" w:cstheme="minorBidi"/>
              <w:noProof/>
              <w:color w:val="auto"/>
              <w:kern w:val="2"/>
              <w:sz w:val="24"/>
              <w:szCs w:val="24"/>
              <w14:ligatures w14:val="standardContextual"/>
            </w:rPr>
          </w:pPr>
          <w:hyperlink w:anchor="_Toc181292966" w:history="1">
            <w:r w:rsidRPr="00B72816">
              <w:rPr>
                <w:rStyle w:val="Hyperlink"/>
                <w:noProof/>
              </w:rPr>
              <w:t>Appeals Process</w:t>
            </w:r>
            <w:r>
              <w:rPr>
                <w:noProof/>
                <w:webHidden/>
              </w:rPr>
              <w:tab/>
            </w:r>
            <w:r>
              <w:rPr>
                <w:noProof/>
                <w:webHidden/>
              </w:rPr>
              <w:fldChar w:fldCharType="begin"/>
            </w:r>
            <w:r>
              <w:rPr>
                <w:noProof/>
                <w:webHidden/>
              </w:rPr>
              <w:instrText xml:space="preserve"> PAGEREF _Toc181292966 \h </w:instrText>
            </w:r>
            <w:r>
              <w:rPr>
                <w:noProof/>
                <w:webHidden/>
              </w:rPr>
            </w:r>
            <w:r>
              <w:rPr>
                <w:noProof/>
                <w:webHidden/>
              </w:rPr>
              <w:fldChar w:fldCharType="separate"/>
            </w:r>
            <w:r w:rsidR="00C860B7">
              <w:rPr>
                <w:noProof/>
                <w:webHidden/>
              </w:rPr>
              <w:t>8</w:t>
            </w:r>
            <w:r>
              <w:rPr>
                <w:noProof/>
                <w:webHidden/>
              </w:rPr>
              <w:fldChar w:fldCharType="end"/>
            </w:r>
          </w:hyperlink>
        </w:p>
        <w:p w14:paraId="6DFE032E" w14:textId="34EF9AA4" w:rsidR="00C63058" w:rsidRDefault="0033529E">
          <w:r>
            <w:fldChar w:fldCharType="end"/>
          </w:r>
        </w:p>
      </w:sdtContent>
    </w:sdt>
    <w:p w14:paraId="44CCECC7" w14:textId="77777777" w:rsidR="00C63058" w:rsidRDefault="00C63058"/>
    <w:p w14:paraId="04A46BE2" w14:textId="77777777" w:rsidR="00C63058" w:rsidRDefault="00C63058"/>
    <w:p w14:paraId="32CB6B8F" w14:textId="77777777" w:rsidR="00C63058" w:rsidRDefault="00C63058"/>
    <w:p w14:paraId="40EA181A" w14:textId="77777777" w:rsidR="00C63058" w:rsidRDefault="00C63058"/>
    <w:p w14:paraId="6FAB7E66" w14:textId="77777777" w:rsidR="00C63058" w:rsidRDefault="00C63058"/>
    <w:p w14:paraId="211D10E8" w14:textId="77777777" w:rsidR="00C63058" w:rsidRDefault="00C63058"/>
    <w:p w14:paraId="2DC1B87D" w14:textId="7BBCBE50" w:rsidR="00A04AEB" w:rsidRDefault="00A04AEB">
      <w:r>
        <w:br w:type="page"/>
      </w:r>
    </w:p>
    <w:p w14:paraId="12DDEA3E" w14:textId="77777777" w:rsidR="00C63058" w:rsidRDefault="00C63058"/>
    <w:p w14:paraId="6034B07D" w14:textId="668E9625" w:rsidR="00C63058" w:rsidRDefault="00085AA7">
      <w:pPr>
        <w:pStyle w:val="Heading3"/>
      </w:pPr>
      <w:bookmarkStart w:id="3" w:name="_qe77vz23ajk" w:colFirst="0" w:colLast="0"/>
      <w:bookmarkStart w:id="4" w:name="_msdtuphbejzz" w:colFirst="0" w:colLast="0"/>
      <w:bookmarkStart w:id="5" w:name="_Toc181292958"/>
      <w:bookmarkEnd w:id="3"/>
      <w:bookmarkEnd w:id="4"/>
      <w:r>
        <w:t>Induction and Overview</w:t>
      </w:r>
      <w:bookmarkEnd w:id="5"/>
      <w:r>
        <w:t xml:space="preserve"> </w:t>
      </w:r>
    </w:p>
    <w:p w14:paraId="11DE498F" w14:textId="693B937A" w:rsidR="00A04AEB" w:rsidRPr="00E9426E" w:rsidRDefault="00A04AEB" w:rsidP="00A04AEB">
      <w:pPr>
        <w:pStyle w:val="NormalWeb"/>
        <w:rPr>
          <w:rFonts w:ascii="Montserrat" w:hAnsi="Montserrat"/>
        </w:rPr>
      </w:pPr>
      <w:r w:rsidRPr="00E9426E">
        <w:rPr>
          <w:rFonts w:ascii="Montserrat" w:hAnsi="Montserrat"/>
        </w:rPr>
        <w:t>Bursaries are designed to help eligible students aged 16-24 who have an EHCP and / or from low-income households to meet the costs incurred in attending and actively participating in college and undertaking all compulsory elements of a study programme.</w:t>
      </w:r>
    </w:p>
    <w:p w14:paraId="2334257E" w14:textId="28D6BB59" w:rsidR="00A04AEB" w:rsidRPr="00E9426E" w:rsidRDefault="00A04AEB" w:rsidP="00A04AEB">
      <w:pPr>
        <w:pStyle w:val="NormalWeb"/>
        <w:rPr>
          <w:rFonts w:ascii="Montserrat" w:hAnsi="Montserrat"/>
        </w:rPr>
      </w:pPr>
      <w:r w:rsidRPr="00E9426E">
        <w:rPr>
          <w:rFonts w:ascii="Montserrat" w:hAnsi="Montserrat"/>
        </w:rPr>
        <w:t>Creating Tomorrow College administers the Bursary Fund awarded within the Education Skills Funding Agency’s (EFA) 16-19 Bursary Fund Guidelines. For more information you can visit: www.gov.uk/1619-bursary-fund</w:t>
      </w:r>
    </w:p>
    <w:p w14:paraId="6902DC77" w14:textId="603113BB" w:rsidR="00A04AEB" w:rsidRPr="00E9426E" w:rsidRDefault="00A04AEB" w:rsidP="00A04AEB">
      <w:pPr>
        <w:pStyle w:val="NormalWeb"/>
        <w:rPr>
          <w:rFonts w:ascii="Montserrat" w:hAnsi="Montserrat"/>
        </w:rPr>
      </w:pPr>
      <w:r w:rsidRPr="00E9426E">
        <w:rPr>
          <w:rFonts w:ascii="Montserrat" w:hAnsi="Montserrat"/>
        </w:rPr>
        <w:t>The bursaries available include a bursary of up to £1,200 a year made available to the most vulnerable young people and also a discretionary fund for schools, academies and colleges to distribute. Each institution can set its own eligibility criteria for the discretionary bursaries and the terms and conditions under which it is awarded.</w:t>
      </w:r>
    </w:p>
    <w:p w14:paraId="7C1CED77" w14:textId="791B9171" w:rsidR="00A04AEB" w:rsidRPr="00E9426E" w:rsidRDefault="00A04AEB" w:rsidP="00A04AEB">
      <w:pPr>
        <w:pStyle w:val="NormalWeb"/>
        <w:rPr>
          <w:rFonts w:ascii="Montserrat" w:hAnsi="Montserrat"/>
        </w:rPr>
      </w:pPr>
      <w:r w:rsidRPr="00E9426E">
        <w:rPr>
          <w:rFonts w:ascii="Montserrat" w:hAnsi="Montserrat"/>
        </w:rPr>
        <w:t>Creating Tomorrow College has clear and transparent processes including an appeals procedure.</w:t>
      </w:r>
    </w:p>
    <w:p w14:paraId="32A2AA60" w14:textId="75359D57" w:rsidR="00D71944" w:rsidRDefault="000F10EF" w:rsidP="00D71944">
      <w:pPr>
        <w:pStyle w:val="Heading3"/>
      </w:pPr>
      <w:bookmarkStart w:id="6" w:name="_Toc181292959"/>
      <w:r>
        <w:t>Bursary Categories</w:t>
      </w:r>
      <w:bookmarkEnd w:id="6"/>
      <w:r>
        <w:t xml:space="preserve"> </w:t>
      </w:r>
    </w:p>
    <w:p w14:paraId="17F3BCBA" w14:textId="6F9C9567" w:rsidR="00E9426E" w:rsidRPr="00E9426E" w:rsidRDefault="00E9426E" w:rsidP="00E9426E">
      <w:pPr>
        <w:rPr>
          <w:color w:val="auto"/>
          <w:sz w:val="24"/>
          <w:szCs w:val="24"/>
        </w:rPr>
      </w:pPr>
      <w:r w:rsidRPr="00E9426E">
        <w:rPr>
          <w:color w:val="auto"/>
          <w:sz w:val="24"/>
          <w:szCs w:val="24"/>
        </w:rPr>
        <w:t>Two types of bursary are available to young people aged 16-24:</w:t>
      </w:r>
    </w:p>
    <w:p w14:paraId="7C9BE38A" w14:textId="77777777" w:rsidR="00E9426E" w:rsidRPr="00E9426E" w:rsidRDefault="00E9426E" w:rsidP="00E9426E">
      <w:pPr>
        <w:rPr>
          <w:b/>
          <w:bCs/>
          <w:color w:val="auto"/>
          <w:sz w:val="24"/>
          <w:szCs w:val="24"/>
          <w:u w:val="single"/>
        </w:rPr>
      </w:pPr>
      <w:r w:rsidRPr="00E9426E">
        <w:rPr>
          <w:b/>
          <w:bCs/>
          <w:color w:val="auto"/>
          <w:sz w:val="24"/>
          <w:szCs w:val="24"/>
          <w:u w:val="single"/>
        </w:rPr>
        <w:t>Vulnerable Young People Bursary</w:t>
      </w:r>
    </w:p>
    <w:p w14:paraId="3E575AE3" w14:textId="34419CDD" w:rsidR="00E9426E" w:rsidRPr="00E9426E" w:rsidRDefault="00E9426E" w:rsidP="00E9426E">
      <w:pPr>
        <w:rPr>
          <w:color w:val="auto"/>
          <w:sz w:val="24"/>
          <w:szCs w:val="24"/>
        </w:rPr>
      </w:pPr>
      <w:r w:rsidRPr="00E9426E">
        <w:rPr>
          <w:color w:val="auto"/>
          <w:sz w:val="24"/>
          <w:szCs w:val="24"/>
        </w:rPr>
        <w:t>A bursary of up to £1,200, is available to students who are aged under 19 on the 31st August 2024 and who also fit one of the criteria below:</w:t>
      </w:r>
    </w:p>
    <w:p w14:paraId="0412896B" w14:textId="542BA732" w:rsidR="00E9426E" w:rsidRPr="00E9426E" w:rsidRDefault="00E9426E" w:rsidP="00E9426E">
      <w:pPr>
        <w:pStyle w:val="ListParagraph"/>
        <w:numPr>
          <w:ilvl w:val="0"/>
          <w:numId w:val="18"/>
        </w:numPr>
        <w:rPr>
          <w:rFonts w:ascii="Montserrat" w:hAnsi="Montserrat"/>
          <w:sz w:val="24"/>
        </w:rPr>
      </w:pPr>
      <w:r w:rsidRPr="00E9426E">
        <w:rPr>
          <w:rFonts w:ascii="Montserrat" w:hAnsi="Montserrat"/>
          <w:sz w:val="24"/>
        </w:rPr>
        <w:t>In Local Authority care or have left care.</w:t>
      </w:r>
    </w:p>
    <w:p w14:paraId="53A0486C" w14:textId="616AFF84" w:rsidR="00E9426E" w:rsidRPr="00E9426E" w:rsidRDefault="00E9426E" w:rsidP="00E9426E">
      <w:pPr>
        <w:pStyle w:val="ListParagraph"/>
        <w:numPr>
          <w:ilvl w:val="0"/>
          <w:numId w:val="18"/>
        </w:numPr>
        <w:rPr>
          <w:rFonts w:ascii="Montserrat" w:hAnsi="Montserrat"/>
          <w:sz w:val="24"/>
        </w:rPr>
      </w:pPr>
      <w:r w:rsidRPr="00E9426E">
        <w:rPr>
          <w:rFonts w:ascii="Montserrat" w:hAnsi="Montserrat"/>
          <w:sz w:val="24"/>
        </w:rPr>
        <w:t>In receipt of Income Support in their own name</w:t>
      </w:r>
    </w:p>
    <w:p w14:paraId="7B5F8726" w14:textId="60D94889" w:rsidR="00E9426E" w:rsidRPr="00E9426E" w:rsidRDefault="00E9426E" w:rsidP="00E9426E">
      <w:pPr>
        <w:pStyle w:val="ListParagraph"/>
        <w:numPr>
          <w:ilvl w:val="0"/>
          <w:numId w:val="18"/>
        </w:numPr>
        <w:rPr>
          <w:rFonts w:ascii="Montserrat" w:hAnsi="Montserrat"/>
          <w:sz w:val="24"/>
        </w:rPr>
      </w:pPr>
      <w:r w:rsidRPr="00E9426E">
        <w:rPr>
          <w:rFonts w:ascii="Montserrat" w:hAnsi="Montserrat"/>
          <w:sz w:val="24"/>
        </w:rPr>
        <w:t>In receipt of Universal Credit in their own name.</w:t>
      </w:r>
    </w:p>
    <w:p w14:paraId="1AD0A3E9" w14:textId="77777777" w:rsidR="00E9426E" w:rsidRPr="00E9426E" w:rsidRDefault="00E9426E" w:rsidP="00E9426E">
      <w:pPr>
        <w:pStyle w:val="ListParagraph"/>
        <w:numPr>
          <w:ilvl w:val="0"/>
          <w:numId w:val="18"/>
        </w:numPr>
        <w:rPr>
          <w:rFonts w:ascii="Montserrat" w:hAnsi="Montserrat"/>
          <w:sz w:val="24"/>
        </w:rPr>
      </w:pPr>
      <w:r w:rsidRPr="00E9426E">
        <w:rPr>
          <w:rFonts w:ascii="Montserrat" w:hAnsi="Montserrat"/>
          <w:sz w:val="24"/>
        </w:rPr>
        <w:t>Receive both Employment and Support Allowance (ESA) (or Universal Credit in place of ESA), and either Disability Living Allowance (DLA) or Personal Independence Payment (PIP) in their own name.</w:t>
      </w:r>
    </w:p>
    <w:p w14:paraId="63E2F036" w14:textId="77777777" w:rsidR="00E9426E" w:rsidRPr="00E9426E" w:rsidRDefault="00E9426E" w:rsidP="00E9426E">
      <w:pPr>
        <w:pStyle w:val="ListParagraph"/>
        <w:rPr>
          <w:sz w:val="24"/>
        </w:rPr>
      </w:pPr>
    </w:p>
    <w:p w14:paraId="1C6B1DCC" w14:textId="5462D5B4" w:rsidR="00E9426E" w:rsidRPr="00E9426E" w:rsidRDefault="00E9426E" w:rsidP="00E9426E">
      <w:pPr>
        <w:rPr>
          <w:color w:val="auto"/>
          <w:sz w:val="24"/>
          <w:szCs w:val="24"/>
        </w:rPr>
      </w:pPr>
      <w:r w:rsidRPr="00E9426E">
        <w:rPr>
          <w:color w:val="auto"/>
          <w:sz w:val="24"/>
          <w:szCs w:val="24"/>
        </w:rPr>
        <w:t>Evidence to support the application will be needed such as:</w:t>
      </w:r>
    </w:p>
    <w:p w14:paraId="7FB388B5" w14:textId="77777777" w:rsidR="00E9426E" w:rsidRPr="00E9426E" w:rsidRDefault="00E9426E" w:rsidP="00E9426E">
      <w:pPr>
        <w:pStyle w:val="ListParagraph"/>
        <w:numPr>
          <w:ilvl w:val="0"/>
          <w:numId w:val="19"/>
        </w:numPr>
        <w:rPr>
          <w:rFonts w:ascii="Montserrat" w:hAnsi="Montserrat"/>
          <w:sz w:val="24"/>
        </w:rPr>
      </w:pPr>
      <w:r w:rsidRPr="00E9426E">
        <w:rPr>
          <w:rFonts w:ascii="Montserrat" w:hAnsi="Montserrat"/>
          <w:sz w:val="24"/>
        </w:rPr>
        <w:t>A letter setting out the benefit to which the young person is entitled.</w:t>
      </w:r>
    </w:p>
    <w:p w14:paraId="1DA9A9B3" w14:textId="347437CB" w:rsidR="00E9426E" w:rsidRPr="00E9426E" w:rsidRDefault="00E9426E" w:rsidP="00E9426E">
      <w:pPr>
        <w:pStyle w:val="ListParagraph"/>
        <w:numPr>
          <w:ilvl w:val="0"/>
          <w:numId w:val="19"/>
        </w:numPr>
        <w:rPr>
          <w:rFonts w:ascii="Montserrat" w:hAnsi="Montserrat"/>
          <w:sz w:val="24"/>
        </w:rPr>
      </w:pPr>
      <w:r w:rsidRPr="00E9426E">
        <w:rPr>
          <w:rFonts w:ascii="Montserrat" w:hAnsi="Montserrat"/>
          <w:sz w:val="24"/>
        </w:rPr>
        <w:t>Written confirmation (letter or email) of current/previous ‘Looked After’ status from the relevant Local Authority.</w:t>
      </w:r>
    </w:p>
    <w:p w14:paraId="10E00355" w14:textId="77777777" w:rsidR="00E9426E" w:rsidRPr="00E9426E" w:rsidRDefault="00E9426E" w:rsidP="00E9426E">
      <w:pPr>
        <w:pStyle w:val="ListParagraph"/>
        <w:numPr>
          <w:ilvl w:val="0"/>
          <w:numId w:val="19"/>
        </w:numPr>
        <w:rPr>
          <w:rFonts w:ascii="Montserrat" w:hAnsi="Montserrat"/>
          <w:sz w:val="24"/>
        </w:rPr>
      </w:pPr>
      <w:r w:rsidRPr="00E9426E">
        <w:rPr>
          <w:rFonts w:ascii="Montserrat" w:hAnsi="Montserrat"/>
          <w:sz w:val="24"/>
        </w:rPr>
        <w:t>Leaving Care Review Document.</w:t>
      </w:r>
    </w:p>
    <w:p w14:paraId="6A7231FB" w14:textId="77777777" w:rsidR="00E9426E" w:rsidRPr="00E9426E" w:rsidRDefault="00E9426E" w:rsidP="00E9426E">
      <w:pPr>
        <w:rPr>
          <w:sz w:val="24"/>
          <w:szCs w:val="24"/>
        </w:rPr>
      </w:pPr>
    </w:p>
    <w:p w14:paraId="7CEC9C68" w14:textId="77777777" w:rsidR="00E9426E" w:rsidRPr="00E9426E" w:rsidRDefault="00E9426E" w:rsidP="00E9426E">
      <w:pPr>
        <w:rPr>
          <w:b/>
          <w:bCs/>
          <w:sz w:val="24"/>
          <w:szCs w:val="24"/>
          <w:u w:val="single"/>
        </w:rPr>
      </w:pPr>
      <w:r w:rsidRPr="00E9426E">
        <w:rPr>
          <w:b/>
          <w:bCs/>
          <w:sz w:val="24"/>
          <w:szCs w:val="24"/>
          <w:u w:val="single"/>
        </w:rPr>
        <w:lastRenderedPageBreak/>
        <w:t>Discretionary Bursary</w:t>
      </w:r>
    </w:p>
    <w:p w14:paraId="5AA83DAC" w14:textId="2253DCA5" w:rsidR="00E9426E" w:rsidRPr="00E9426E" w:rsidRDefault="00E9426E" w:rsidP="00E9426E">
      <w:pPr>
        <w:jc w:val="left"/>
        <w:rPr>
          <w:color w:val="auto"/>
          <w:sz w:val="24"/>
          <w:szCs w:val="24"/>
        </w:rPr>
      </w:pPr>
      <w:r w:rsidRPr="00E9426E">
        <w:rPr>
          <w:color w:val="auto"/>
          <w:sz w:val="24"/>
          <w:szCs w:val="24"/>
        </w:rPr>
        <w:t>This bursary is awarded to meet individual needs / circumstances and covers the costs associated with attending and participating in College life and undertaking all compulsory elements of a study programme.</w:t>
      </w:r>
    </w:p>
    <w:p w14:paraId="07B17305" w14:textId="1A2E1DAD" w:rsidR="00E9426E" w:rsidRPr="00E9426E" w:rsidRDefault="00E9426E" w:rsidP="00E9426E">
      <w:pPr>
        <w:jc w:val="left"/>
        <w:rPr>
          <w:color w:val="auto"/>
          <w:sz w:val="24"/>
          <w:szCs w:val="24"/>
        </w:rPr>
      </w:pPr>
      <w:r w:rsidRPr="00E9426E">
        <w:rPr>
          <w:color w:val="auto"/>
          <w:sz w:val="24"/>
          <w:szCs w:val="24"/>
        </w:rPr>
        <w:t>To qualify for this bursary, students must be from a household with an income of less than £</w:t>
      </w:r>
      <w:r w:rsidR="00520853" w:rsidRPr="00520853">
        <w:rPr>
          <w:color w:val="auto"/>
          <w:sz w:val="24"/>
          <w:szCs w:val="24"/>
        </w:rPr>
        <w:t>28</w:t>
      </w:r>
      <w:r w:rsidRPr="00520853">
        <w:rPr>
          <w:color w:val="auto"/>
          <w:sz w:val="24"/>
          <w:szCs w:val="24"/>
        </w:rPr>
        <w:t>,000</w:t>
      </w:r>
      <w:r w:rsidRPr="00E9426E">
        <w:rPr>
          <w:color w:val="auto"/>
          <w:sz w:val="24"/>
          <w:szCs w:val="24"/>
        </w:rPr>
        <w:t xml:space="preserve"> or in receipt of a means-tested benefit. However, all applications from outside of these guidelines will be considered to allow some flexibility on individual circumstances.</w:t>
      </w:r>
    </w:p>
    <w:p w14:paraId="7E24329D" w14:textId="4B9C91B5" w:rsidR="00E9426E" w:rsidRDefault="00E9426E" w:rsidP="00E9426E">
      <w:pPr>
        <w:jc w:val="left"/>
        <w:rPr>
          <w:rFonts w:eastAsia="Times New Roman" w:cs="Times New Roman"/>
          <w:color w:val="auto"/>
          <w:sz w:val="24"/>
          <w:szCs w:val="24"/>
        </w:rPr>
      </w:pPr>
      <w:r w:rsidRPr="00E9426E">
        <w:rPr>
          <w:rFonts w:eastAsia="Times New Roman" w:cs="Times New Roman"/>
          <w:color w:val="auto"/>
          <w:sz w:val="24"/>
          <w:szCs w:val="24"/>
        </w:rPr>
        <w:t>Residency requirement: Must have resided legally in the UK/EU/EEA for at least three years before the study programme start date.</w:t>
      </w:r>
    </w:p>
    <w:p w14:paraId="71A3C665" w14:textId="7B11CA19" w:rsidR="00E9426E" w:rsidRPr="00E9426E" w:rsidRDefault="00E9426E" w:rsidP="00E9426E">
      <w:pPr>
        <w:jc w:val="left"/>
        <w:rPr>
          <w:color w:val="auto"/>
          <w:sz w:val="24"/>
          <w:szCs w:val="24"/>
        </w:rPr>
      </w:pPr>
      <w:r>
        <w:rPr>
          <w:rFonts w:eastAsia="Times New Roman" w:cs="Times New Roman"/>
          <w:color w:val="auto"/>
          <w:sz w:val="24"/>
          <w:szCs w:val="24"/>
        </w:rPr>
        <w:t>In addition to the above bursaries the following is also available:</w:t>
      </w:r>
    </w:p>
    <w:p w14:paraId="089F7A84" w14:textId="77777777" w:rsidR="00E9426E" w:rsidRPr="00E9426E" w:rsidRDefault="00E9426E" w:rsidP="00E9426E">
      <w:pPr>
        <w:rPr>
          <w:sz w:val="24"/>
          <w:szCs w:val="24"/>
          <w:u w:val="single"/>
        </w:rPr>
      </w:pPr>
      <w:r w:rsidRPr="003B0176">
        <w:rPr>
          <w:rFonts w:eastAsia="Times New Roman" w:cs="Times New Roman"/>
          <w:b/>
          <w:bCs/>
          <w:color w:val="auto"/>
          <w:sz w:val="24"/>
          <w:szCs w:val="24"/>
          <w:u w:val="single"/>
        </w:rPr>
        <w:t>Childcare Support</w:t>
      </w:r>
    </w:p>
    <w:p w14:paraId="42ACD18A" w14:textId="2824034D" w:rsidR="00E9426E" w:rsidRPr="00E9426E" w:rsidRDefault="00E9426E" w:rsidP="00E9426E">
      <w:pPr>
        <w:jc w:val="left"/>
        <w:rPr>
          <w:color w:val="auto"/>
          <w:sz w:val="24"/>
          <w:szCs w:val="24"/>
        </w:rPr>
      </w:pPr>
      <w:r w:rsidRPr="00E9426E">
        <w:rPr>
          <w:rFonts w:eastAsia="Times New Roman" w:cs="Times New Roman"/>
          <w:color w:val="auto"/>
          <w:sz w:val="24"/>
          <w:szCs w:val="24"/>
        </w:rPr>
        <w:t>Students under 20 with children can apply for childcare support through Care to Learn (C2L), covering up to £180 per week per child if the provider is Ofsted-registered.</w:t>
      </w:r>
    </w:p>
    <w:p w14:paraId="50CDE29F" w14:textId="514C0B7E" w:rsidR="00E9426E" w:rsidRPr="00E9426E" w:rsidRDefault="00472B79" w:rsidP="00E9426E">
      <w:pPr>
        <w:pStyle w:val="Heading3"/>
      </w:pPr>
      <w:bookmarkStart w:id="7" w:name="_Toc181292960"/>
      <w:r>
        <w:t>Bursary Payments</w:t>
      </w:r>
      <w:bookmarkEnd w:id="7"/>
      <w:r>
        <w:t xml:space="preserve"> </w:t>
      </w:r>
    </w:p>
    <w:p w14:paraId="75838FD9" w14:textId="3865C052" w:rsidR="003B0176" w:rsidRPr="00A27D37" w:rsidRDefault="003B0176" w:rsidP="00A27D37">
      <w:pPr>
        <w:jc w:val="left"/>
        <w:rPr>
          <w:color w:val="auto"/>
          <w:sz w:val="24"/>
          <w:szCs w:val="24"/>
        </w:rPr>
      </w:pPr>
      <w:r w:rsidRPr="003B0176">
        <w:rPr>
          <w:color w:val="auto"/>
          <w:sz w:val="24"/>
          <w:szCs w:val="24"/>
        </w:rPr>
        <w:t>Applicants must be under 25 on 31st August 202</w:t>
      </w:r>
      <w:r w:rsidR="00520853">
        <w:rPr>
          <w:color w:val="auto"/>
          <w:sz w:val="24"/>
          <w:szCs w:val="24"/>
        </w:rPr>
        <w:t>5</w:t>
      </w:r>
      <w:r w:rsidRPr="003B0176">
        <w:rPr>
          <w:color w:val="auto"/>
          <w:sz w:val="24"/>
          <w:szCs w:val="24"/>
        </w:rPr>
        <w:t xml:space="preserve"> and should be from a household with an income below £</w:t>
      </w:r>
      <w:r w:rsidR="00520853">
        <w:rPr>
          <w:color w:val="auto"/>
          <w:sz w:val="24"/>
          <w:szCs w:val="24"/>
        </w:rPr>
        <w:t>28</w:t>
      </w:r>
      <w:r w:rsidRPr="003B0176">
        <w:rPr>
          <w:color w:val="auto"/>
          <w:sz w:val="24"/>
          <w:szCs w:val="24"/>
        </w:rPr>
        <w:t>,000.</w:t>
      </w:r>
    </w:p>
    <w:p w14:paraId="02F8B1A8" w14:textId="77777777" w:rsidR="00A27D37" w:rsidRPr="00A27D37" w:rsidRDefault="003B0176" w:rsidP="00A27D37">
      <w:pPr>
        <w:pStyle w:val="ListParagraph"/>
        <w:numPr>
          <w:ilvl w:val="0"/>
          <w:numId w:val="25"/>
        </w:numPr>
        <w:rPr>
          <w:rFonts w:ascii="Montserrat" w:hAnsi="Montserrat"/>
          <w:sz w:val="24"/>
        </w:rPr>
      </w:pPr>
      <w:r w:rsidRPr="00A27D37">
        <w:rPr>
          <w:rFonts w:ascii="Montserrat" w:hAnsi="Montserrat"/>
          <w:sz w:val="24"/>
        </w:rPr>
        <w:t>Evidence of meeting the criteria must accompany the application such as:</w:t>
      </w:r>
    </w:p>
    <w:p w14:paraId="62AEE0D5" w14:textId="77777777" w:rsidR="00A27D37" w:rsidRPr="00A27D37" w:rsidRDefault="003B0176" w:rsidP="00A27D37">
      <w:pPr>
        <w:pStyle w:val="ListParagraph"/>
        <w:numPr>
          <w:ilvl w:val="0"/>
          <w:numId w:val="25"/>
        </w:numPr>
        <w:rPr>
          <w:rFonts w:ascii="Montserrat" w:hAnsi="Montserrat"/>
          <w:sz w:val="24"/>
        </w:rPr>
      </w:pPr>
      <w:r w:rsidRPr="00A27D37">
        <w:rPr>
          <w:rFonts w:ascii="Montserrat" w:hAnsi="Montserrat"/>
          <w:sz w:val="24"/>
        </w:rPr>
        <w:t>P60 from the latest tax year (or the most recent three payslips)</w:t>
      </w:r>
    </w:p>
    <w:p w14:paraId="49792920" w14:textId="77777777" w:rsidR="00A27D37" w:rsidRPr="00A27D37" w:rsidRDefault="003B0176" w:rsidP="00A27D37">
      <w:pPr>
        <w:pStyle w:val="ListParagraph"/>
        <w:numPr>
          <w:ilvl w:val="0"/>
          <w:numId w:val="25"/>
        </w:numPr>
        <w:rPr>
          <w:rFonts w:ascii="Montserrat" w:hAnsi="Montserrat"/>
          <w:sz w:val="24"/>
        </w:rPr>
      </w:pPr>
      <w:r w:rsidRPr="00A27D37">
        <w:rPr>
          <w:rFonts w:ascii="Montserrat" w:hAnsi="Montserrat"/>
          <w:sz w:val="24"/>
        </w:rPr>
        <w:t>Tax return from latest tax year (if any member of the household is self-employed) or an accountant’s letter confirming annual income.</w:t>
      </w:r>
    </w:p>
    <w:p w14:paraId="55167EE5" w14:textId="6F4F1F85" w:rsidR="003B0176" w:rsidRPr="00A27D37" w:rsidRDefault="003B0176" w:rsidP="00A27D37">
      <w:pPr>
        <w:pStyle w:val="ListParagraph"/>
        <w:numPr>
          <w:ilvl w:val="0"/>
          <w:numId w:val="25"/>
        </w:numPr>
        <w:rPr>
          <w:rFonts w:ascii="Montserrat" w:hAnsi="Montserrat"/>
          <w:sz w:val="24"/>
        </w:rPr>
      </w:pPr>
      <w:r w:rsidRPr="00A27D37">
        <w:rPr>
          <w:rFonts w:ascii="Montserrat" w:hAnsi="Montserrat"/>
          <w:sz w:val="24"/>
        </w:rPr>
        <w:t>Award letter for any other benefits e.g. tax credits</w:t>
      </w:r>
    </w:p>
    <w:p w14:paraId="4BFB2B6A" w14:textId="77777777" w:rsidR="00A27D37" w:rsidRPr="00A27D37" w:rsidRDefault="00A27D37" w:rsidP="00A27D37">
      <w:pPr>
        <w:jc w:val="left"/>
        <w:rPr>
          <w:color w:val="auto"/>
          <w:sz w:val="24"/>
          <w:szCs w:val="24"/>
        </w:rPr>
      </w:pPr>
    </w:p>
    <w:p w14:paraId="6AAB6A43" w14:textId="482B9B8C" w:rsidR="003B0176" w:rsidRPr="003B0176" w:rsidRDefault="003B0176" w:rsidP="00A27D37">
      <w:pPr>
        <w:jc w:val="left"/>
        <w:rPr>
          <w:color w:val="auto"/>
          <w:sz w:val="24"/>
          <w:szCs w:val="24"/>
        </w:rPr>
      </w:pPr>
      <w:r w:rsidRPr="003B0176">
        <w:rPr>
          <w:color w:val="auto"/>
          <w:sz w:val="24"/>
          <w:szCs w:val="24"/>
        </w:rPr>
        <w:t xml:space="preserve">The College will award funds broadly under the following categories relating to essential costs to enable student’s participation in their </w:t>
      </w:r>
      <w:r w:rsidRPr="00A27D37">
        <w:rPr>
          <w:color w:val="auto"/>
          <w:sz w:val="24"/>
          <w:szCs w:val="24"/>
        </w:rPr>
        <w:t>Study</w:t>
      </w:r>
      <w:r w:rsidRPr="003B0176">
        <w:rPr>
          <w:color w:val="auto"/>
          <w:sz w:val="24"/>
          <w:szCs w:val="24"/>
        </w:rPr>
        <w:t xml:space="preserve"> Programme):</w:t>
      </w:r>
    </w:p>
    <w:p w14:paraId="3CA65836" w14:textId="77777777" w:rsidR="00A27D37" w:rsidRPr="00A27D37" w:rsidRDefault="003B0176" w:rsidP="00A27D37">
      <w:pPr>
        <w:pStyle w:val="ListParagraph"/>
        <w:numPr>
          <w:ilvl w:val="0"/>
          <w:numId w:val="26"/>
        </w:numPr>
        <w:rPr>
          <w:rFonts w:ascii="Montserrat" w:hAnsi="Montserrat"/>
          <w:sz w:val="24"/>
        </w:rPr>
      </w:pPr>
      <w:r w:rsidRPr="00A27D37">
        <w:rPr>
          <w:rFonts w:ascii="Montserrat" w:hAnsi="Montserrat"/>
          <w:sz w:val="24"/>
        </w:rPr>
        <w:t>Clothing (PPE or uniforms), books and course equipment</w:t>
      </w:r>
    </w:p>
    <w:p w14:paraId="5C36ED19" w14:textId="77777777" w:rsidR="00A27D37" w:rsidRPr="00A27D37" w:rsidRDefault="003B0176" w:rsidP="00A27D37">
      <w:pPr>
        <w:pStyle w:val="ListParagraph"/>
        <w:numPr>
          <w:ilvl w:val="0"/>
          <w:numId w:val="26"/>
        </w:numPr>
        <w:rPr>
          <w:rFonts w:ascii="Montserrat" w:hAnsi="Montserrat"/>
          <w:sz w:val="24"/>
        </w:rPr>
      </w:pPr>
      <w:r w:rsidRPr="00A27D37">
        <w:rPr>
          <w:rFonts w:ascii="Montserrat" w:hAnsi="Montserrat"/>
          <w:sz w:val="24"/>
        </w:rPr>
        <w:t>DBS costs</w:t>
      </w:r>
    </w:p>
    <w:p w14:paraId="5C0D35BE" w14:textId="77777777" w:rsidR="00A27D37" w:rsidRPr="00A27D37" w:rsidRDefault="003B0176" w:rsidP="00A27D37">
      <w:pPr>
        <w:pStyle w:val="ListParagraph"/>
        <w:numPr>
          <w:ilvl w:val="0"/>
          <w:numId w:val="26"/>
        </w:numPr>
        <w:rPr>
          <w:rFonts w:ascii="Montserrat" w:hAnsi="Montserrat"/>
          <w:sz w:val="24"/>
        </w:rPr>
      </w:pPr>
      <w:r w:rsidRPr="00A27D37">
        <w:rPr>
          <w:rFonts w:ascii="Montserrat" w:hAnsi="Montserrat"/>
          <w:sz w:val="24"/>
        </w:rPr>
        <w:t>Essential trips/visits</w:t>
      </w:r>
    </w:p>
    <w:p w14:paraId="3F5A264B" w14:textId="77777777" w:rsidR="00A27D37" w:rsidRPr="00A27D37" w:rsidRDefault="003B0176" w:rsidP="00A27D37">
      <w:pPr>
        <w:pStyle w:val="ListParagraph"/>
        <w:numPr>
          <w:ilvl w:val="0"/>
          <w:numId w:val="26"/>
        </w:numPr>
        <w:rPr>
          <w:rFonts w:ascii="Montserrat" w:hAnsi="Montserrat"/>
          <w:sz w:val="24"/>
        </w:rPr>
      </w:pPr>
      <w:r w:rsidRPr="00A27D37">
        <w:rPr>
          <w:rFonts w:ascii="Montserrat" w:hAnsi="Montserrat"/>
          <w:sz w:val="24"/>
        </w:rPr>
        <w:t>Work Experience or Work placement related costs</w:t>
      </w:r>
    </w:p>
    <w:p w14:paraId="082D0456" w14:textId="699560E4" w:rsidR="00D71944" w:rsidRDefault="003B0176" w:rsidP="00A27D37">
      <w:pPr>
        <w:pStyle w:val="ListParagraph"/>
        <w:numPr>
          <w:ilvl w:val="0"/>
          <w:numId w:val="26"/>
        </w:numPr>
        <w:rPr>
          <w:rFonts w:ascii="Montserrat" w:hAnsi="Montserrat"/>
          <w:sz w:val="24"/>
        </w:rPr>
      </w:pPr>
      <w:r w:rsidRPr="00A27D37">
        <w:rPr>
          <w:rFonts w:ascii="Montserrat" w:hAnsi="Montserrat"/>
          <w:sz w:val="24"/>
        </w:rPr>
        <w:lastRenderedPageBreak/>
        <w:t>Transport (not replacing the local authority statutory transport duty)</w:t>
      </w:r>
      <w:r w:rsidR="00503D10">
        <w:rPr>
          <w:rFonts w:ascii="Montserrat" w:hAnsi="Montserrat"/>
          <w:sz w:val="24"/>
        </w:rPr>
        <w:t>. The first £1000 will be the responsibility of the student and the bursary panel will take a view on payments towards the balance.</w:t>
      </w:r>
    </w:p>
    <w:p w14:paraId="2864595A" w14:textId="77777777" w:rsidR="00503D10" w:rsidRPr="00A27D37" w:rsidRDefault="00503D10" w:rsidP="00503D10">
      <w:pPr>
        <w:pStyle w:val="ListParagraph"/>
        <w:rPr>
          <w:rFonts w:ascii="Montserrat" w:hAnsi="Montserrat"/>
          <w:sz w:val="24"/>
        </w:rPr>
      </w:pPr>
    </w:p>
    <w:p w14:paraId="214AE09F" w14:textId="7BE3F159" w:rsidR="00D71944" w:rsidRDefault="003B0176" w:rsidP="00D71944">
      <w:pPr>
        <w:pStyle w:val="Heading3"/>
      </w:pPr>
      <w:bookmarkStart w:id="8" w:name="_Toc181292961"/>
      <w:r>
        <w:t>Free Meals in FE</w:t>
      </w:r>
      <w:bookmarkEnd w:id="8"/>
    </w:p>
    <w:p w14:paraId="016B7BF1" w14:textId="4F6F4453"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3B0176">
        <w:rPr>
          <w:rFonts w:eastAsia="Aptos" w:cs="Times New Roman"/>
          <w:color w:val="auto"/>
          <w:kern w:val="2"/>
          <w:sz w:val="24"/>
          <w:szCs w:val="24"/>
          <w:lang w:eastAsia="en-US"/>
          <w14:ligatures w14:val="standardContextual"/>
        </w:rPr>
        <w:t>Students qualifying for a bursary may also be eligible for subsidised meals for the days they attend college. Subsidised meals will be awarded at £</w:t>
      </w:r>
      <w:r w:rsidR="008E06CA">
        <w:rPr>
          <w:rFonts w:eastAsia="Aptos" w:cs="Times New Roman"/>
          <w:color w:val="auto"/>
          <w:kern w:val="2"/>
          <w:sz w:val="24"/>
          <w:szCs w:val="24"/>
          <w:lang w:eastAsia="en-US"/>
          <w14:ligatures w14:val="standardContextual"/>
        </w:rPr>
        <w:t>2.</w:t>
      </w:r>
      <w:r w:rsidR="00520853">
        <w:rPr>
          <w:rFonts w:eastAsia="Aptos" w:cs="Times New Roman"/>
          <w:color w:val="auto"/>
          <w:kern w:val="2"/>
          <w:sz w:val="24"/>
          <w:szCs w:val="24"/>
          <w:lang w:eastAsia="en-US"/>
          <w14:ligatures w14:val="standardContextual"/>
        </w:rPr>
        <w:t>61</w:t>
      </w:r>
      <w:r w:rsidRPr="003B0176">
        <w:rPr>
          <w:rFonts w:eastAsia="Aptos" w:cs="Times New Roman"/>
          <w:color w:val="auto"/>
          <w:kern w:val="2"/>
          <w:sz w:val="24"/>
          <w:szCs w:val="24"/>
          <w:lang w:eastAsia="en-US"/>
          <w14:ligatures w14:val="standardContextual"/>
        </w:rPr>
        <w:t xml:space="preserve"> per meal and in most circumstances will relate to lunch provision.</w:t>
      </w:r>
    </w:p>
    <w:p w14:paraId="137E7205"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74E8D666"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3B0176">
        <w:rPr>
          <w:rFonts w:eastAsia="Aptos" w:cs="Times New Roman"/>
          <w:color w:val="auto"/>
          <w:kern w:val="2"/>
          <w:sz w:val="24"/>
          <w:szCs w:val="24"/>
          <w:lang w:eastAsia="en-US"/>
          <w14:ligatures w14:val="standardContextual"/>
        </w:rPr>
        <w:t>These are targeted at disadvantaged students. “Disadvantaged” is defined as students in receipt of, or having parents who are in receipt of, one or more of the following benefits:</w:t>
      </w:r>
    </w:p>
    <w:p w14:paraId="2375EF52"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7E6ADA01" w14:textId="77777777" w:rsidR="003B0176" w:rsidRPr="003B0176" w:rsidRDefault="003B0176" w:rsidP="003B0176">
      <w:pPr>
        <w:pStyle w:val="ListParagraph"/>
        <w:numPr>
          <w:ilvl w:val="0"/>
          <w:numId w:val="22"/>
        </w:numPr>
        <w:spacing w:after="0"/>
        <w:rPr>
          <w:rFonts w:ascii="Montserrat" w:eastAsia="Aptos" w:hAnsi="Montserrat"/>
          <w:kern w:val="2"/>
          <w:sz w:val="24"/>
          <w14:ligatures w14:val="standardContextual"/>
        </w:rPr>
      </w:pPr>
      <w:r w:rsidRPr="003B0176">
        <w:rPr>
          <w:rFonts w:ascii="Montserrat" w:eastAsia="Aptos" w:hAnsi="Montserrat"/>
          <w:kern w:val="2"/>
          <w:sz w:val="24"/>
          <w14:ligatures w14:val="standardContextual"/>
        </w:rPr>
        <w:t>Income Support</w:t>
      </w:r>
    </w:p>
    <w:p w14:paraId="643A4190"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29F20C0D" w14:textId="77777777" w:rsidR="003B0176" w:rsidRPr="003B0176" w:rsidRDefault="003B0176" w:rsidP="003B0176">
      <w:pPr>
        <w:pStyle w:val="ListParagraph"/>
        <w:numPr>
          <w:ilvl w:val="0"/>
          <w:numId w:val="22"/>
        </w:numPr>
        <w:spacing w:after="0"/>
        <w:rPr>
          <w:rFonts w:ascii="Montserrat" w:eastAsia="Aptos" w:hAnsi="Montserrat"/>
          <w:kern w:val="2"/>
          <w:sz w:val="24"/>
          <w14:ligatures w14:val="standardContextual"/>
        </w:rPr>
      </w:pPr>
      <w:r w:rsidRPr="003B0176">
        <w:rPr>
          <w:rFonts w:ascii="Montserrat" w:eastAsia="Aptos" w:hAnsi="Montserrat"/>
          <w:kern w:val="2"/>
          <w:sz w:val="24"/>
          <w14:ligatures w14:val="standardContextual"/>
        </w:rPr>
        <w:t>Income-based Jobseekers Allowance</w:t>
      </w:r>
    </w:p>
    <w:p w14:paraId="45C5274A"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3781102F" w14:textId="77777777" w:rsidR="003B0176" w:rsidRPr="003B0176" w:rsidRDefault="003B0176" w:rsidP="003B0176">
      <w:pPr>
        <w:pStyle w:val="ListParagraph"/>
        <w:numPr>
          <w:ilvl w:val="0"/>
          <w:numId w:val="22"/>
        </w:numPr>
        <w:spacing w:after="0"/>
        <w:rPr>
          <w:rFonts w:ascii="Montserrat" w:eastAsia="Aptos" w:hAnsi="Montserrat"/>
          <w:kern w:val="2"/>
          <w:sz w:val="24"/>
          <w14:ligatures w14:val="standardContextual"/>
        </w:rPr>
      </w:pPr>
      <w:r w:rsidRPr="003B0176">
        <w:rPr>
          <w:rFonts w:ascii="Montserrat" w:eastAsia="Aptos" w:hAnsi="Montserrat"/>
          <w:kern w:val="2"/>
          <w:sz w:val="24"/>
          <w14:ligatures w14:val="standardContextual"/>
        </w:rPr>
        <w:t>Income-related Employment and Support Allowance (ESA)</w:t>
      </w:r>
    </w:p>
    <w:p w14:paraId="6D56ADCB"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315632F8" w14:textId="77777777" w:rsidR="003B0176" w:rsidRPr="003B0176" w:rsidRDefault="003B0176" w:rsidP="003B0176">
      <w:pPr>
        <w:pStyle w:val="ListParagraph"/>
        <w:numPr>
          <w:ilvl w:val="0"/>
          <w:numId w:val="22"/>
        </w:numPr>
        <w:spacing w:after="0"/>
        <w:rPr>
          <w:rFonts w:ascii="Montserrat" w:eastAsia="Aptos" w:hAnsi="Montserrat"/>
          <w:kern w:val="2"/>
          <w:sz w:val="24"/>
          <w14:ligatures w14:val="standardContextual"/>
        </w:rPr>
      </w:pPr>
      <w:r w:rsidRPr="003B0176">
        <w:rPr>
          <w:rFonts w:ascii="Montserrat" w:eastAsia="Aptos" w:hAnsi="Montserrat"/>
          <w:kern w:val="2"/>
          <w:sz w:val="24"/>
          <w14:ligatures w14:val="standardContextual"/>
        </w:rPr>
        <w:t>Support under part VI of the Immigration and Asylum Act 1999.</w:t>
      </w:r>
    </w:p>
    <w:p w14:paraId="52EE0F10"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11C4B0C8" w14:textId="77777777" w:rsidR="003B0176" w:rsidRPr="003B0176" w:rsidRDefault="003B0176" w:rsidP="003B0176">
      <w:pPr>
        <w:pStyle w:val="ListParagraph"/>
        <w:numPr>
          <w:ilvl w:val="0"/>
          <w:numId w:val="22"/>
        </w:numPr>
        <w:spacing w:after="0"/>
        <w:rPr>
          <w:rFonts w:ascii="Montserrat" w:eastAsia="Aptos" w:hAnsi="Montserrat"/>
          <w:kern w:val="2"/>
          <w:sz w:val="24"/>
          <w14:ligatures w14:val="standardContextual"/>
        </w:rPr>
      </w:pPr>
      <w:r w:rsidRPr="003B0176">
        <w:rPr>
          <w:rFonts w:ascii="Montserrat" w:eastAsia="Aptos" w:hAnsi="Montserrat"/>
          <w:kern w:val="2"/>
          <w:sz w:val="24"/>
          <w14:ligatures w14:val="standardContextual"/>
        </w:rPr>
        <w:t>The guarantee element of State Pension Credit</w:t>
      </w:r>
    </w:p>
    <w:p w14:paraId="41BEA593"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49E2C5BA" w14:textId="77777777" w:rsidR="003B0176" w:rsidRPr="003B0176" w:rsidRDefault="003B0176" w:rsidP="003B0176">
      <w:pPr>
        <w:pStyle w:val="ListParagraph"/>
        <w:numPr>
          <w:ilvl w:val="0"/>
          <w:numId w:val="22"/>
        </w:numPr>
        <w:spacing w:after="0"/>
        <w:rPr>
          <w:rFonts w:ascii="Montserrat" w:eastAsia="Aptos" w:hAnsi="Montserrat"/>
          <w:kern w:val="2"/>
          <w:sz w:val="24"/>
          <w14:ligatures w14:val="standardContextual"/>
        </w:rPr>
      </w:pPr>
      <w:r w:rsidRPr="003B0176">
        <w:rPr>
          <w:rFonts w:ascii="Montserrat" w:eastAsia="Aptos" w:hAnsi="Montserrat"/>
          <w:kern w:val="2"/>
          <w:sz w:val="24"/>
          <w14:ligatures w14:val="standardContextual"/>
        </w:rPr>
        <w:t>Child Tax Credit (provided they are not entitled to Working Tax Credit and have an annual gross income of no more than £16,190 as assessed by her Majesty’s Revenue and Customs HMRC)</w:t>
      </w:r>
    </w:p>
    <w:p w14:paraId="1BC85BCC"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707651CF" w14:textId="77777777" w:rsidR="003B0176" w:rsidRPr="003B0176" w:rsidRDefault="003B0176" w:rsidP="003B0176">
      <w:pPr>
        <w:pStyle w:val="ListParagraph"/>
        <w:numPr>
          <w:ilvl w:val="0"/>
          <w:numId w:val="22"/>
        </w:numPr>
        <w:spacing w:after="0"/>
        <w:rPr>
          <w:rFonts w:ascii="Montserrat" w:eastAsia="Aptos" w:hAnsi="Montserrat"/>
          <w:kern w:val="2"/>
          <w:sz w:val="24"/>
          <w14:ligatures w14:val="standardContextual"/>
        </w:rPr>
      </w:pPr>
      <w:r w:rsidRPr="003B0176">
        <w:rPr>
          <w:rFonts w:ascii="Montserrat" w:eastAsia="Aptos" w:hAnsi="Montserrat"/>
          <w:kern w:val="2"/>
          <w:sz w:val="24"/>
          <w14:ligatures w14:val="standardContextual"/>
        </w:rPr>
        <w:t>Working Tax credit Run-on paid for 4 weeks after someone stops qualifying for working Tax Credit.</w:t>
      </w:r>
    </w:p>
    <w:p w14:paraId="062D74F4"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18EC66C5" w14:textId="77777777" w:rsidR="003B0176" w:rsidRPr="003B0176" w:rsidRDefault="003B0176" w:rsidP="003B0176">
      <w:pPr>
        <w:pStyle w:val="ListParagraph"/>
        <w:numPr>
          <w:ilvl w:val="0"/>
          <w:numId w:val="22"/>
        </w:numPr>
        <w:spacing w:after="0"/>
        <w:rPr>
          <w:rFonts w:ascii="Montserrat" w:eastAsia="Aptos" w:hAnsi="Montserrat"/>
          <w:kern w:val="2"/>
          <w:sz w:val="24"/>
          <w14:ligatures w14:val="standardContextual"/>
        </w:rPr>
      </w:pPr>
      <w:r w:rsidRPr="003B0176">
        <w:rPr>
          <w:rFonts w:ascii="Montserrat" w:eastAsia="Aptos" w:hAnsi="Montserrat"/>
          <w:kern w:val="2"/>
          <w:sz w:val="24"/>
          <w14:ligatures w14:val="standardContextual"/>
        </w:rPr>
        <w:t>Universal Credit with net earnings not exceeding the equivalent of £7,400 pa (after tax and not including any benefits) to be aligned and amended in accordance with Government guidance.</w:t>
      </w:r>
    </w:p>
    <w:p w14:paraId="0F75E3FA" w14:textId="77777777" w:rsidR="003B0176" w:rsidRPr="003B0176" w:rsidRDefault="003B0176" w:rsidP="003B0176">
      <w:pPr>
        <w:spacing w:after="0"/>
        <w:rPr>
          <w:rFonts w:eastAsia="Aptos"/>
          <w:kern w:val="2"/>
          <w:sz w:val="24"/>
          <w14:ligatures w14:val="standardContextual"/>
        </w:rPr>
      </w:pPr>
    </w:p>
    <w:p w14:paraId="402F5AE6"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3B0176">
        <w:rPr>
          <w:rFonts w:eastAsia="Aptos" w:cs="Times New Roman"/>
          <w:color w:val="auto"/>
          <w:kern w:val="2"/>
          <w:sz w:val="24"/>
          <w:szCs w:val="24"/>
          <w:lang w:eastAsia="en-US"/>
          <w14:ligatures w14:val="standardContextual"/>
        </w:rPr>
        <w:t>*Transitional protection arrangements:</w:t>
      </w:r>
    </w:p>
    <w:p w14:paraId="73BF0065"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47D9A070" w14:textId="3102646E" w:rsid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3B0176">
        <w:rPr>
          <w:rFonts w:eastAsia="Aptos" w:cs="Times New Roman"/>
          <w:color w:val="auto"/>
          <w:kern w:val="2"/>
          <w:sz w:val="24"/>
          <w:szCs w:val="24"/>
          <w:lang w:eastAsia="en-US"/>
          <w14:ligatures w14:val="standardContextual"/>
        </w:rPr>
        <w:t>Eligibility checks will not be required for any student already receiving free meals at any point between 1 April 2018 and March 202</w:t>
      </w:r>
      <w:r w:rsidR="00520853">
        <w:rPr>
          <w:rFonts w:eastAsia="Aptos" w:cs="Times New Roman"/>
          <w:color w:val="auto"/>
          <w:kern w:val="2"/>
          <w:sz w:val="24"/>
          <w:szCs w:val="24"/>
          <w:lang w:eastAsia="en-US"/>
          <w14:ligatures w14:val="standardContextual"/>
        </w:rPr>
        <w:t>6</w:t>
      </w:r>
      <w:r w:rsidRPr="003B0176">
        <w:rPr>
          <w:rFonts w:eastAsia="Aptos" w:cs="Times New Roman"/>
          <w:color w:val="auto"/>
          <w:kern w:val="2"/>
          <w:sz w:val="24"/>
          <w:szCs w:val="24"/>
          <w:lang w:eastAsia="en-US"/>
          <w14:ligatures w14:val="standardContextual"/>
        </w:rPr>
        <w:t xml:space="preserve"> or until the end of the </w:t>
      </w:r>
      <w:r>
        <w:rPr>
          <w:rFonts w:eastAsia="Aptos" w:cs="Times New Roman"/>
          <w:color w:val="auto"/>
          <w:kern w:val="2"/>
          <w:sz w:val="24"/>
          <w:szCs w:val="24"/>
          <w:lang w:eastAsia="en-US"/>
          <w14:ligatures w14:val="standardContextual"/>
        </w:rPr>
        <w:t>study programme</w:t>
      </w:r>
      <w:r w:rsidRPr="003B0176">
        <w:rPr>
          <w:rFonts w:eastAsia="Aptos" w:cs="Times New Roman"/>
          <w:color w:val="auto"/>
          <w:kern w:val="2"/>
          <w:sz w:val="24"/>
          <w:szCs w:val="24"/>
          <w:lang w:eastAsia="en-US"/>
          <w14:ligatures w14:val="standardContextual"/>
        </w:rPr>
        <w:t xml:space="preserve"> they are enrolled on at this point (until June 202</w:t>
      </w:r>
      <w:r w:rsidR="00520853">
        <w:rPr>
          <w:rFonts w:eastAsia="Aptos" w:cs="Times New Roman"/>
          <w:color w:val="auto"/>
          <w:kern w:val="2"/>
          <w:sz w:val="24"/>
          <w:szCs w:val="24"/>
          <w:lang w:eastAsia="en-US"/>
          <w14:ligatures w14:val="standardContextual"/>
        </w:rPr>
        <w:t>6</w:t>
      </w:r>
      <w:r w:rsidRPr="003B0176">
        <w:rPr>
          <w:rFonts w:eastAsia="Aptos" w:cs="Times New Roman"/>
          <w:color w:val="auto"/>
          <w:kern w:val="2"/>
          <w:sz w:val="24"/>
          <w:szCs w:val="24"/>
          <w:lang w:eastAsia="en-US"/>
          <w14:ligatures w14:val="standardContextual"/>
        </w:rPr>
        <w:t>). This will apply even if the household earnings rise above the new threshold during that time.</w:t>
      </w:r>
    </w:p>
    <w:p w14:paraId="76402321" w14:textId="77777777" w:rsid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6A080AED" w14:textId="47C5857C" w:rsid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Pr>
          <w:rFonts w:eastAsia="Aptos" w:cs="Times New Roman"/>
          <w:color w:val="auto"/>
          <w:kern w:val="2"/>
          <w:sz w:val="24"/>
          <w:szCs w:val="24"/>
          <w:lang w:eastAsia="en-US"/>
          <w14:ligatures w14:val="standardContextual"/>
        </w:rPr>
        <w:t>Free Meals in FE at Creating Tomorrow College will take the form of vouchers for supermarkets. The choice of supermarket will be at the discretion of the college.</w:t>
      </w:r>
    </w:p>
    <w:p w14:paraId="07D83D47" w14:textId="77777777" w:rsidR="003B0176" w:rsidRPr="003B0176" w:rsidRDefault="003B0176" w:rsidP="003B0176">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521CE9A2" w14:textId="7A6D5FD9" w:rsidR="00D71944" w:rsidRDefault="00472B79" w:rsidP="00D71944">
      <w:pPr>
        <w:pStyle w:val="Heading3"/>
      </w:pPr>
      <w:bookmarkStart w:id="9" w:name="_Toc181292962"/>
      <w:bookmarkStart w:id="10" w:name="_Hlk181291913"/>
      <w:r>
        <w:t>App</w:t>
      </w:r>
      <w:r w:rsidR="00410B51">
        <w:t>lications, Assessment &amp; Outcome</w:t>
      </w:r>
      <w:bookmarkEnd w:id="9"/>
      <w:r>
        <w:t xml:space="preserve"> </w:t>
      </w:r>
    </w:p>
    <w:p w14:paraId="54825B81" w14:textId="66E7E284"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 xml:space="preserve">All applicants will need to complete an application form for each academic year they study at </w:t>
      </w:r>
      <w:r>
        <w:rPr>
          <w:rFonts w:eastAsia="Aptos" w:cs="Times New Roman"/>
          <w:color w:val="auto"/>
          <w:kern w:val="2"/>
          <w:sz w:val="24"/>
          <w:szCs w:val="24"/>
          <w:lang w:eastAsia="en-US"/>
          <w14:ligatures w14:val="standardContextual"/>
        </w:rPr>
        <w:t xml:space="preserve">Creating Tomorrow </w:t>
      </w:r>
      <w:r w:rsidRPr="00410B51">
        <w:rPr>
          <w:rFonts w:eastAsia="Aptos" w:cs="Times New Roman"/>
          <w:color w:val="auto"/>
          <w:kern w:val="2"/>
          <w:sz w:val="24"/>
          <w:szCs w:val="24"/>
          <w:lang w:eastAsia="en-US"/>
          <w14:ligatures w14:val="standardContextual"/>
        </w:rPr>
        <w:t>College to evidence that they meet the eligibility criteria – the only exception are students continuing to receive free meals who were in receipt between 2018-2023*. There is no deadline for when an application can be made; however, allocations of funds are subject to availability.</w:t>
      </w:r>
    </w:p>
    <w:bookmarkEnd w:id="10"/>
    <w:p w14:paraId="3B85196C"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7C2D18AD"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In line with the ESFA guidelines, the College will retain 5% of its allocation for administration purposes. It will also retain funds for ‘in year’ applications.</w:t>
      </w:r>
    </w:p>
    <w:p w14:paraId="691899E2"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6FD468D0"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In all cases, an application form will be completed and the necessary evidence provided.</w:t>
      </w:r>
    </w:p>
    <w:p w14:paraId="42C5DB1D"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3B73C293" w14:textId="3848761F"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The application will take no longer than 8-10 working days (during term time) to process</w:t>
      </w:r>
      <w:r>
        <w:rPr>
          <w:rFonts w:eastAsia="Aptos" w:cs="Times New Roman"/>
          <w:color w:val="auto"/>
          <w:kern w:val="2"/>
          <w:sz w:val="24"/>
          <w:szCs w:val="24"/>
          <w:lang w:eastAsia="en-US"/>
          <w14:ligatures w14:val="standardContextual"/>
        </w:rPr>
        <w:t xml:space="preserve">, </w:t>
      </w:r>
      <w:r w:rsidRPr="00410B51">
        <w:rPr>
          <w:rFonts w:eastAsia="Aptos" w:cs="Times New Roman"/>
          <w:color w:val="auto"/>
          <w:kern w:val="2"/>
          <w:sz w:val="24"/>
          <w:szCs w:val="24"/>
          <w:lang w:eastAsia="en-US"/>
          <w14:ligatures w14:val="standardContextual"/>
        </w:rPr>
        <w:t>upon receipt of the required evidence. Outside of term time, processing time may be longer.</w:t>
      </w:r>
    </w:p>
    <w:p w14:paraId="62FC4F7A"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0481DF81"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An assessment is made based on a completed and signed declaration from the student and parent / carer (dependent upon age and circumstance of student) detailing income from employment and/or benefits along with supporting evidence of all declared income.</w:t>
      </w:r>
    </w:p>
    <w:p w14:paraId="056805B9"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02B043FB"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 xml:space="preserve">When calculating household income, we take into account all income and means-tested benefits, including, but not limited to: </w:t>
      </w:r>
    </w:p>
    <w:p w14:paraId="3F2CA962"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786F36D7" w14:textId="77777777"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Income-based Jobseeker’s Allowance </w:t>
      </w:r>
    </w:p>
    <w:p w14:paraId="67FC14C9" w14:textId="77777777"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Income-related Employment and Support Allowance (ESA) </w:t>
      </w:r>
    </w:p>
    <w:p w14:paraId="08DEFA3E" w14:textId="77777777"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Income Support </w:t>
      </w:r>
    </w:p>
    <w:p w14:paraId="178294B4" w14:textId="77777777"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Pension Credit </w:t>
      </w:r>
    </w:p>
    <w:p w14:paraId="4E743960" w14:textId="77777777"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Housing benefit </w:t>
      </w:r>
    </w:p>
    <w:p w14:paraId="61B8DBF5" w14:textId="77777777"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Council tax support </w:t>
      </w:r>
    </w:p>
    <w:p w14:paraId="5FD9BF91" w14:textId="77777777"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Social Fund </w:t>
      </w:r>
    </w:p>
    <w:p w14:paraId="400D13D1" w14:textId="77777777"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Universal Credit </w:t>
      </w:r>
    </w:p>
    <w:p w14:paraId="61992144" w14:textId="77777777"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Tax credits (Child and Working) </w:t>
      </w:r>
    </w:p>
    <w:p w14:paraId="725F99DD" w14:textId="000BD939" w:rsidR="00410B51" w:rsidRPr="00410B51" w:rsidRDefault="00410B51" w:rsidP="00410B51">
      <w:pPr>
        <w:pStyle w:val="ListParagraph"/>
        <w:numPr>
          <w:ilvl w:val="0"/>
          <w:numId w:val="23"/>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Child maintenance</w:t>
      </w:r>
    </w:p>
    <w:p w14:paraId="30F520DC" w14:textId="77777777" w:rsidR="00410B51" w:rsidRPr="00410B51" w:rsidRDefault="00410B51" w:rsidP="00410B51">
      <w:pPr>
        <w:pStyle w:val="ListParagraph"/>
        <w:spacing w:after="0"/>
        <w:rPr>
          <w:rFonts w:eastAsia="Aptos"/>
          <w:kern w:val="2"/>
          <w:sz w:val="24"/>
          <w14:ligatures w14:val="standardContextual"/>
        </w:rPr>
      </w:pPr>
    </w:p>
    <w:p w14:paraId="589EBA74"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 xml:space="preserve">The College does not take into account non means-tested benefits, including: </w:t>
      </w:r>
    </w:p>
    <w:p w14:paraId="5C63E80E"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3F8F6457" w14:textId="77777777" w:rsidR="00410B51" w:rsidRPr="00410B51" w:rsidRDefault="00410B51" w:rsidP="00410B51">
      <w:pPr>
        <w:pStyle w:val="ListParagraph"/>
        <w:numPr>
          <w:ilvl w:val="0"/>
          <w:numId w:val="24"/>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Attendance allowance </w:t>
      </w:r>
    </w:p>
    <w:p w14:paraId="4B16E9D3" w14:textId="77777777" w:rsidR="00410B51" w:rsidRPr="00410B51" w:rsidRDefault="00410B51" w:rsidP="00410B51">
      <w:pPr>
        <w:pStyle w:val="ListParagraph"/>
        <w:numPr>
          <w:ilvl w:val="0"/>
          <w:numId w:val="24"/>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Carer’s allowance </w:t>
      </w:r>
    </w:p>
    <w:p w14:paraId="3051C1D1" w14:textId="77777777" w:rsidR="00410B51" w:rsidRPr="00410B51" w:rsidRDefault="00410B51" w:rsidP="00410B51">
      <w:pPr>
        <w:pStyle w:val="ListParagraph"/>
        <w:numPr>
          <w:ilvl w:val="0"/>
          <w:numId w:val="24"/>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Child Benefit </w:t>
      </w:r>
    </w:p>
    <w:p w14:paraId="6F11D1B7" w14:textId="77777777" w:rsidR="00410B51" w:rsidRPr="00410B51" w:rsidRDefault="00410B51" w:rsidP="00410B51">
      <w:pPr>
        <w:pStyle w:val="ListParagraph"/>
        <w:numPr>
          <w:ilvl w:val="0"/>
          <w:numId w:val="24"/>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lastRenderedPageBreak/>
        <w:t xml:space="preserve">Disability Living Allowance </w:t>
      </w:r>
    </w:p>
    <w:p w14:paraId="32503EFF" w14:textId="77777777" w:rsidR="00410B51" w:rsidRPr="00410B51" w:rsidRDefault="00410B51" w:rsidP="00410B51">
      <w:pPr>
        <w:pStyle w:val="ListParagraph"/>
        <w:numPr>
          <w:ilvl w:val="0"/>
          <w:numId w:val="24"/>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Personal Independence Payment </w:t>
      </w:r>
    </w:p>
    <w:p w14:paraId="4C12A6A2" w14:textId="2669578B" w:rsidR="00410B51" w:rsidRPr="00410B51" w:rsidRDefault="00410B51" w:rsidP="00410B51">
      <w:pPr>
        <w:pStyle w:val="ListParagraph"/>
        <w:numPr>
          <w:ilvl w:val="0"/>
          <w:numId w:val="24"/>
        </w:numPr>
        <w:spacing w:after="0"/>
        <w:rPr>
          <w:rFonts w:ascii="Montserrat" w:eastAsia="Aptos" w:hAnsi="Montserrat"/>
          <w:kern w:val="2"/>
          <w:sz w:val="24"/>
          <w14:ligatures w14:val="standardContextual"/>
        </w:rPr>
      </w:pPr>
      <w:r w:rsidRPr="00410B51">
        <w:rPr>
          <w:rFonts w:ascii="Montserrat" w:eastAsia="Aptos" w:hAnsi="Montserrat"/>
          <w:kern w:val="2"/>
          <w:sz w:val="24"/>
          <w14:ligatures w14:val="standardContextual"/>
        </w:rPr>
        <w:t xml:space="preserve">State Pension </w:t>
      </w:r>
    </w:p>
    <w:p w14:paraId="028F6A20"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52E6F5DC"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 xml:space="preserve">For UC (Universal Credit) we will review the 3 most recent monthly award statements – with the take-home pay figure in addition to the amount of UC after all deductions to give a total monthly income. Using 3 months statements will act as a guide to the household income for a quarter of a year. We will then estimate assumed income for a full year on this basis. </w:t>
      </w:r>
    </w:p>
    <w:p w14:paraId="0172E786"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3028A7B1" w14:textId="5519DA8E" w:rsid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This guide includes an example of a UC award notice. The notice shows the 2 highlighted figures – one for take-home pay; one for the amount of UC after deductions – this will form part of the evidence in assessing a monthly total.</w:t>
      </w:r>
    </w:p>
    <w:p w14:paraId="14EC622C"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22B60AFE"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The number of dependent children will be taken into consideration. The College will take account of this information in the assessment of need, as the College recognises the additional household costs incurred.</w:t>
      </w:r>
    </w:p>
    <w:p w14:paraId="3CD08183"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26054882"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Where a student is identified as eligible for a defined vulnerable group bursary, but their financial needs are met, or they do not have any financial need, this may result in no award, or only a partial award being made. This will be made clear to the student and can be revisited at any time during the academic year.</w:t>
      </w:r>
    </w:p>
    <w:p w14:paraId="33BB7127"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38F0BB69"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If the application is unsuccessful, or only successful in part, the applicant / family will be made aware of the outcome in writing within 15 working days (term time). Outside of term time, processing time may be longer.</w:t>
      </w:r>
    </w:p>
    <w:p w14:paraId="0652879C" w14:textId="77777777" w:rsidR="00410B51" w:rsidRPr="00410B51" w:rsidRDefault="00410B51" w:rsidP="00410B51">
      <w:pPr>
        <w:shd w:val="clear" w:color="auto" w:fill="auto"/>
        <w:tabs>
          <w:tab w:val="clear" w:pos="9025"/>
        </w:tabs>
        <w:spacing w:before="0" w:after="0" w:line="240" w:lineRule="auto"/>
        <w:jc w:val="left"/>
        <w:rPr>
          <w:rFonts w:eastAsia="Aptos" w:cs="Times New Roman"/>
          <w:color w:val="auto"/>
          <w:kern w:val="2"/>
          <w:sz w:val="24"/>
          <w:szCs w:val="24"/>
          <w:lang w:eastAsia="en-US"/>
          <w14:ligatures w14:val="standardContextual"/>
        </w:rPr>
      </w:pPr>
    </w:p>
    <w:p w14:paraId="272924B2" w14:textId="5EE9864A" w:rsidR="00410B51" w:rsidRPr="00410B51" w:rsidRDefault="00410B51" w:rsidP="00410B51">
      <w:pPr>
        <w:shd w:val="clear" w:color="auto" w:fill="auto"/>
        <w:tabs>
          <w:tab w:val="clear" w:pos="9025"/>
        </w:tabs>
        <w:spacing w:before="0" w:after="0" w:line="240" w:lineRule="auto"/>
        <w:jc w:val="center"/>
        <w:rPr>
          <w:rFonts w:ascii="Montserrat Medium" w:eastAsia="Aptos" w:hAnsi="Montserrat Medium" w:cs="Times New Roman"/>
          <w:b/>
          <w:bCs/>
          <w:color w:val="auto"/>
          <w:kern w:val="2"/>
          <w:sz w:val="24"/>
          <w:szCs w:val="24"/>
          <w:lang w:eastAsia="en-US"/>
          <w14:ligatures w14:val="standardContextual"/>
        </w:rPr>
      </w:pPr>
      <w:r w:rsidRPr="00410B51">
        <w:rPr>
          <w:rFonts w:ascii="Montserrat Medium" w:eastAsia="Aptos" w:hAnsi="Montserrat Medium" w:cs="Times New Roman"/>
          <w:b/>
          <w:bCs/>
          <w:color w:val="auto"/>
          <w:kern w:val="2"/>
          <w:sz w:val="24"/>
          <w:szCs w:val="24"/>
          <w:lang w:eastAsia="en-US"/>
          <w14:ligatures w14:val="standardContextual"/>
        </w:rPr>
        <w:t>Receipt of the bursary will be conditional on the young person regularly attending college.</w:t>
      </w:r>
      <w:r w:rsidR="00503D10">
        <w:rPr>
          <w:rFonts w:ascii="Montserrat Medium" w:eastAsia="Aptos" w:hAnsi="Montserrat Medium" w:cs="Times New Roman"/>
          <w:b/>
          <w:bCs/>
          <w:color w:val="auto"/>
          <w:kern w:val="2"/>
          <w:sz w:val="24"/>
          <w:szCs w:val="24"/>
          <w:lang w:eastAsia="en-US"/>
          <w14:ligatures w14:val="standardContextual"/>
        </w:rPr>
        <w:t xml:space="preserve"> The bursary panel will take a view on the conditions applied to any decision based on personalised factors.</w:t>
      </w:r>
    </w:p>
    <w:p w14:paraId="3F2C807E" w14:textId="77777777" w:rsidR="00472B79" w:rsidRPr="00472B79" w:rsidRDefault="00472B79" w:rsidP="00472B79"/>
    <w:p w14:paraId="31799A10" w14:textId="574DCAA4" w:rsidR="00410B51" w:rsidRDefault="00410B51" w:rsidP="00410B51">
      <w:pPr>
        <w:pStyle w:val="Heading3"/>
      </w:pPr>
      <w:bookmarkStart w:id="11" w:name="_Toc181292963"/>
      <w:r>
        <w:t>Affecting Other Benefits</w:t>
      </w:r>
      <w:bookmarkEnd w:id="11"/>
    </w:p>
    <w:p w14:paraId="518FD9A8" w14:textId="372FE100" w:rsidR="00D71944" w:rsidRPr="00410B51" w:rsidRDefault="00410B51">
      <w:pPr>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 xml:space="preserve">Be aware that being in receipt of a bursary does not affect the award of other means-tested benefits paid to families, such as IS, Jobseeker’s Allowance, Child Benefit, Working Tax Credit, Housing Benefit or, generally, UC. </w:t>
      </w:r>
    </w:p>
    <w:p w14:paraId="4F653068" w14:textId="6A0655D8" w:rsidR="00410B51" w:rsidRDefault="00410B51" w:rsidP="00410B51">
      <w:pPr>
        <w:pStyle w:val="Heading3"/>
      </w:pPr>
      <w:bookmarkStart w:id="12" w:name="_Toc181292964"/>
      <w:r>
        <w:t>Payment of Funds</w:t>
      </w:r>
      <w:bookmarkEnd w:id="12"/>
    </w:p>
    <w:p w14:paraId="29CCE97A" w14:textId="57D4C485" w:rsidR="00410B51" w:rsidRDefault="00410B51" w:rsidP="00767040">
      <w:pPr>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 xml:space="preserve">Where possible, funds will be used to directly procure the agreed service or item(s) </w:t>
      </w:r>
      <w:r w:rsidR="00767040">
        <w:rPr>
          <w:rFonts w:eastAsia="Aptos" w:cs="Times New Roman"/>
          <w:color w:val="auto"/>
          <w:kern w:val="2"/>
          <w:sz w:val="24"/>
          <w:szCs w:val="24"/>
          <w:lang w:eastAsia="en-US"/>
          <w14:ligatures w14:val="standardContextual"/>
        </w:rPr>
        <w:t xml:space="preserve">(including college uniform) </w:t>
      </w:r>
      <w:r w:rsidRPr="00410B51">
        <w:rPr>
          <w:rFonts w:eastAsia="Aptos" w:cs="Times New Roman"/>
          <w:color w:val="auto"/>
          <w:kern w:val="2"/>
          <w:sz w:val="24"/>
          <w:szCs w:val="24"/>
          <w:lang w:eastAsia="en-US"/>
          <w14:ligatures w14:val="standardContextual"/>
        </w:rPr>
        <w:t xml:space="preserve">on behalf of the student. For awards such as clothing and </w:t>
      </w:r>
      <w:r w:rsidRPr="00503D10">
        <w:rPr>
          <w:rFonts w:eastAsia="Aptos" w:cs="Times New Roman"/>
          <w:color w:val="auto"/>
          <w:kern w:val="2"/>
          <w:sz w:val="24"/>
          <w:szCs w:val="24"/>
          <w:lang w:eastAsia="en-US"/>
          <w14:ligatures w14:val="standardContextual"/>
        </w:rPr>
        <w:t xml:space="preserve">equipment, </w:t>
      </w:r>
      <w:r w:rsidR="00503D10" w:rsidRPr="00503D10">
        <w:rPr>
          <w:rFonts w:eastAsia="Aptos" w:cs="Times New Roman"/>
          <w:color w:val="auto"/>
          <w:kern w:val="2"/>
          <w:sz w:val="24"/>
          <w:szCs w:val="24"/>
          <w:lang w:eastAsia="en-US"/>
          <w14:ligatures w14:val="standardContextual"/>
        </w:rPr>
        <w:t>the college will identify the appropriate items and purchase on behalf of the student</w:t>
      </w:r>
      <w:r w:rsidRPr="00503D10">
        <w:rPr>
          <w:rFonts w:eastAsia="Aptos" w:cs="Times New Roman"/>
          <w:color w:val="auto"/>
          <w:kern w:val="2"/>
          <w:sz w:val="24"/>
          <w:szCs w:val="24"/>
          <w:lang w:eastAsia="en-US"/>
          <w14:ligatures w14:val="standardContextual"/>
        </w:rPr>
        <w:t>.</w:t>
      </w:r>
      <w:r w:rsidRPr="00410B51">
        <w:rPr>
          <w:rFonts w:eastAsia="Aptos" w:cs="Times New Roman"/>
          <w:color w:val="auto"/>
          <w:kern w:val="2"/>
          <w:sz w:val="24"/>
          <w:szCs w:val="24"/>
          <w:lang w:eastAsia="en-US"/>
          <w14:ligatures w14:val="standardContextual"/>
        </w:rPr>
        <w:t xml:space="preserve"> </w:t>
      </w:r>
      <w:r w:rsidR="00503D10">
        <w:rPr>
          <w:rFonts w:eastAsia="Aptos" w:cs="Times New Roman"/>
          <w:color w:val="auto"/>
          <w:kern w:val="2"/>
          <w:sz w:val="24"/>
          <w:szCs w:val="24"/>
          <w:lang w:eastAsia="en-US"/>
          <w14:ligatures w14:val="standardContextual"/>
        </w:rPr>
        <w:t xml:space="preserve">If the college is unable to </w:t>
      </w:r>
      <w:r w:rsidR="00503D10">
        <w:rPr>
          <w:rFonts w:eastAsia="Aptos" w:cs="Times New Roman"/>
          <w:color w:val="auto"/>
          <w:kern w:val="2"/>
          <w:sz w:val="24"/>
          <w:szCs w:val="24"/>
          <w:lang w:eastAsia="en-US"/>
          <w14:ligatures w14:val="standardContextual"/>
        </w:rPr>
        <w:lastRenderedPageBreak/>
        <w:t>source appropriate clothing or equipment then a voucher to the agreed amount will be provided.</w:t>
      </w:r>
    </w:p>
    <w:p w14:paraId="51B21F05" w14:textId="289439A0" w:rsidR="00410B51" w:rsidRPr="00410B51" w:rsidRDefault="00767040" w:rsidP="00767040">
      <w:pPr>
        <w:jc w:val="left"/>
        <w:rPr>
          <w:rFonts w:eastAsia="Aptos" w:cs="Times New Roman"/>
          <w:color w:val="auto"/>
          <w:kern w:val="2"/>
          <w:sz w:val="24"/>
          <w:szCs w:val="24"/>
          <w:lang w:eastAsia="en-US"/>
          <w14:ligatures w14:val="standardContextual"/>
        </w:rPr>
      </w:pPr>
      <w:r>
        <w:rPr>
          <w:rFonts w:eastAsia="Aptos" w:cs="Times New Roman"/>
          <w:color w:val="auto"/>
          <w:kern w:val="2"/>
          <w:sz w:val="24"/>
          <w:szCs w:val="24"/>
          <w:lang w:eastAsia="en-US"/>
          <w14:ligatures w14:val="standardContextual"/>
        </w:rPr>
        <w:t>The college reserves the right to adapt payments frequency based on individual circumstances and the items/service being purchased.</w:t>
      </w:r>
    </w:p>
    <w:p w14:paraId="51E6FA6A" w14:textId="219F10C4" w:rsidR="00410B51" w:rsidRPr="00767040" w:rsidRDefault="00410B51" w:rsidP="00767040">
      <w:pPr>
        <w:jc w:val="left"/>
        <w:rPr>
          <w:rFonts w:eastAsia="Aptos" w:cs="Times New Roman"/>
          <w:color w:val="auto"/>
          <w:kern w:val="2"/>
          <w:sz w:val="24"/>
          <w:szCs w:val="24"/>
          <w:lang w:eastAsia="en-US"/>
          <w14:ligatures w14:val="standardContextual"/>
        </w:rPr>
      </w:pPr>
      <w:r w:rsidRPr="00410B51">
        <w:rPr>
          <w:rFonts w:eastAsia="Aptos" w:cs="Times New Roman"/>
          <w:color w:val="auto"/>
          <w:kern w:val="2"/>
          <w:sz w:val="24"/>
          <w:szCs w:val="24"/>
          <w:lang w:eastAsia="en-US"/>
          <w14:ligatures w14:val="standardContextual"/>
        </w:rPr>
        <w:t>Where the vulnerable bursary is awarded in full or pro-rata, this will usually be paid in equal amounts over a consecutive 10-month period, starting in September</w:t>
      </w:r>
      <w:r w:rsidR="00503D10">
        <w:rPr>
          <w:rFonts w:eastAsia="Aptos" w:cs="Times New Roman"/>
          <w:color w:val="auto"/>
          <w:kern w:val="2"/>
          <w:sz w:val="24"/>
          <w:szCs w:val="24"/>
          <w:lang w:eastAsia="en-US"/>
          <w14:ligatures w14:val="standardContextual"/>
        </w:rPr>
        <w:t>, if applicable.</w:t>
      </w:r>
    </w:p>
    <w:p w14:paraId="0D5C1510" w14:textId="47AD5542" w:rsidR="00410B51" w:rsidRDefault="00767040" w:rsidP="00410B51">
      <w:pPr>
        <w:pStyle w:val="Heading3"/>
      </w:pPr>
      <w:bookmarkStart w:id="13" w:name="_Toc181292965"/>
      <w:bookmarkStart w:id="14" w:name="_Hlk181292343"/>
      <w:r>
        <w:t>Support</w:t>
      </w:r>
      <w:bookmarkEnd w:id="13"/>
    </w:p>
    <w:p w14:paraId="5A6C0F74" w14:textId="55E3C6D0" w:rsidR="00767040" w:rsidRDefault="00767040" w:rsidP="00767040">
      <w:pPr>
        <w:pStyle w:val="NoSpacing"/>
      </w:pPr>
      <w:r w:rsidRPr="00767040">
        <w:t xml:space="preserve">If you require support and guidance to complete your application then please contact the </w:t>
      </w:r>
      <w:r>
        <w:t xml:space="preserve">College Operations </w:t>
      </w:r>
      <w:r w:rsidRPr="00767040">
        <w:t xml:space="preserve">Manager via email at </w:t>
      </w:r>
      <w:hyperlink r:id="rId14" w:history="1">
        <w:r w:rsidR="008E06CA" w:rsidRPr="00942C5B">
          <w:rPr>
            <w:rStyle w:val="Hyperlink"/>
          </w:rPr>
          <w:t>bursary@creatingtomorrowcollege.co.uk</w:t>
        </w:r>
      </w:hyperlink>
    </w:p>
    <w:p w14:paraId="1EAEF181" w14:textId="77777777" w:rsidR="00767040" w:rsidRPr="00767040" w:rsidRDefault="00767040" w:rsidP="00767040">
      <w:pPr>
        <w:pStyle w:val="NoSpacing"/>
      </w:pPr>
    </w:p>
    <w:p w14:paraId="2C490DB5" w14:textId="401F511B" w:rsidR="00767040" w:rsidRPr="00767040" w:rsidRDefault="00767040" w:rsidP="00767040">
      <w:pPr>
        <w:pStyle w:val="Heading3"/>
      </w:pPr>
      <w:bookmarkStart w:id="15" w:name="_Toc181292966"/>
      <w:bookmarkEnd w:id="14"/>
      <w:r>
        <w:t>Appeals Process</w:t>
      </w:r>
      <w:bookmarkEnd w:id="15"/>
    </w:p>
    <w:p w14:paraId="7A306891" w14:textId="7F3701BA" w:rsidR="00767040" w:rsidRPr="00767040" w:rsidRDefault="00767040" w:rsidP="00767040">
      <w:pPr>
        <w:pStyle w:val="NoSpacing"/>
      </w:pPr>
      <w:r w:rsidRPr="00767040">
        <w:t xml:space="preserve">All applicants have the right to appeal </w:t>
      </w:r>
      <w:r>
        <w:t>a</w:t>
      </w:r>
      <w:r w:rsidRPr="00767040">
        <w:t xml:space="preserve"> decision and must submit a letter to the </w:t>
      </w:r>
      <w:r>
        <w:t>Operations</w:t>
      </w:r>
      <w:r w:rsidRPr="00767040">
        <w:t xml:space="preserve"> Manager within two weeks of receiving their decision letter.</w:t>
      </w:r>
    </w:p>
    <w:p w14:paraId="2E28747E" w14:textId="77777777" w:rsidR="00767040" w:rsidRPr="00767040" w:rsidRDefault="00767040" w:rsidP="00767040">
      <w:pPr>
        <w:pStyle w:val="NoSpacing"/>
      </w:pPr>
    </w:p>
    <w:p w14:paraId="6109DC50" w14:textId="646271C0" w:rsidR="00767040" w:rsidRPr="00767040" w:rsidRDefault="00767040" w:rsidP="00767040">
      <w:pPr>
        <w:pStyle w:val="NoSpacing"/>
      </w:pPr>
      <w:r w:rsidRPr="00767040">
        <w:t xml:space="preserve">The Appeals Panel will be made up of three staff members including one member of the Senior </w:t>
      </w:r>
      <w:r>
        <w:t>Leadership</w:t>
      </w:r>
      <w:r w:rsidRPr="00767040">
        <w:t xml:space="preserve"> Team, none of whom have previous involvement in the decision regarding the award.</w:t>
      </w:r>
    </w:p>
    <w:p w14:paraId="5255E166" w14:textId="77777777" w:rsidR="00767040" w:rsidRPr="00767040" w:rsidRDefault="00767040" w:rsidP="00767040">
      <w:pPr>
        <w:pStyle w:val="NoSpacing"/>
      </w:pPr>
    </w:p>
    <w:p w14:paraId="43B4D4F4" w14:textId="77777777" w:rsidR="00767040" w:rsidRPr="00767040" w:rsidRDefault="00767040" w:rsidP="00767040">
      <w:pPr>
        <w:pStyle w:val="NoSpacing"/>
      </w:pPr>
      <w:r w:rsidRPr="00767040">
        <w:t>All decisions regarding the appeals will be communicated within a working week of the Appeals Panel meeting and this decision is final. However, this should not stop a student from submitting a further application should they feel they have sufficient change of circumstances during the year.</w:t>
      </w:r>
    </w:p>
    <w:p w14:paraId="0B047D19" w14:textId="77777777" w:rsidR="00767040" w:rsidRPr="00767040" w:rsidRDefault="00767040" w:rsidP="00767040">
      <w:pPr>
        <w:pStyle w:val="NoSpacing"/>
      </w:pPr>
    </w:p>
    <w:p w14:paraId="7F2052CF" w14:textId="77777777" w:rsidR="00410B51" w:rsidRDefault="00410B51"/>
    <w:p w14:paraId="2EF23FFE" w14:textId="77777777" w:rsidR="00767040" w:rsidRDefault="00767040"/>
    <w:sectPr w:rsidR="00767040">
      <w:footerReference w:type="default" r:id="rId15"/>
      <w:headerReference w:type="first" r:id="rId16"/>
      <w:pgSz w:w="11909" w:h="16834"/>
      <w:pgMar w:top="1440" w:right="1440" w:bottom="1440" w:left="1440" w:header="68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C338" w14:textId="77777777" w:rsidR="00B85DE8" w:rsidRDefault="00B85DE8">
      <w:pPr>
        <w:spacing w:before="0" w:after="0" w:line="240" w:lineRule="auto"/>
      </w:pPr>
      <w:r>
        <w:separator/>
      </w:r>
    </w:p>
  </w:endnote>
  <w:endnote w:type="continuationSeparator" w:id="0">
    <w:p w14:paraId="5365C12A" w14:textId="77777777" w:rsidR="00B85DE8" w:rsidRDefault="00B85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8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ira Sans Black">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B232" w14:textId="77777777" w:rsidR="00C63058" w:rsidRDefault="0033529E">
    <w:pPr>
      <w:keepLines/>
      <w:spacing w:line="240" w:lineRule="auto"/>
      <w:jc w:val="center"/>
      <w:rPr>
        <w:b/>
        <w:color w:val="345D9D"/>
      </w:rPr>
    </w:pPr>
    <w:r>
      <w:rPr>
        <w:b/>
        <w:color w:val="345D9D"/>
      </w:rPr>
      <w:fldChar w:fldCharType="begin"/>
    </w:r>
    <w:r>
      <w:rPr>
        <w:b/>
        <w:color w:val="345D9D"/>
      </w:rPr>
      <w:instrText>PAGE</w:instrText>
    </w:r>
    <w:r>
      <w:rPr>
        <w:b/>
        <w:color w:val="345D9D"/>
      </w:rPr>
      <w:fldChar w:fldCharType="separate"/>
    </w:r>
    <w:r>
      <w:rPr>
        <w:b/>
        <w:noProof/>
        <w:color w:val="345D9D"/>
      </w:rPr>
      <w:t>1</w:t>
    </w:r>
    <w:r>
      <w:rPr>
        <w:b/>
        <w:color w:val="345D9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03D6" w14:textId="77777777" w:rsidR="00B85DE8" w:rsidRDefault="00B85DE8">
      <w:pPr>
        <w:spacing w:before="0" w:after="0" w:line="240" w:lineRule="auto"/>
      </w:pPr>
      <w:r>
        <w:separator/>
      </w:r>
    </w:p>
  </w:footnote>
  <w:footnote w:type="continuationSeparator" w:id="0">
    <w:p w14:paraId="56919540" w14:textId="77777777" w:rsidR="00B85DE8" w:rsidRDefault="00B85D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BAAD" w14:textId="590D136E" w:rsidR="00C63058" w:rsidRDefault="00C6305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24C"/>
    <w:multiLevelType w:val="multilevel"/>
    <w:tmpl w:val="846A71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A5F39"/>
    <w:multiLevelType w:val="multilevel"/>
    <w:tmpl w:val="C2027C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47E30"/>
    <w:multiLevelType w:val="hybridMultilevel"/>
    <w:tmpl w:val="7D9EA1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97862"/>
    <w:multiLevelType w:val="hybridMultilevel"/>
    <w:tmpl w:val="3EBE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679CF"/>
    <w:multiLevelType w:val="hybridMultilevel"/>
    <w:tmpl w:val="3EDE3FFC"/>
    <w:lvl w:ilvl="0" w:tplc="2AA4287A">
      <w:start w:val="2"/>
      <w:numFmt w:val="bullet"/>
      <w:lvlText w:val="-"/>
      <w:lvlJc w:val="left"/>
      <w:pPr>
        <w:ind w:left="530" w:hanging="360"/>
      </w:pPr>
      <w:rPr>
        <w:rFonts w:ascii="Century Gothic" w:eastAsia="Calibri" w:hAnsi="Century Gothic" w:cs="Calibri"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5" w15:restartNumberingAfterBreak="0">
    <w:nsid w:val="281443AD"/>
    <w:multiLevelType w:val="hybridMultilevel"/>
    <w:tmpl w:val="5D9E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B5114"/>
    <w:multiLevelType w:val="hybridMultilevel"/>
    <w:tmpl w:val="4270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B2540"/>
    <w:multiLevelType w:val="multilevel"/>
    <w:tmpl w:val="5E14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4073F1"/>
    <w:multiLevelType w:val="hybridMultilevel"/>
    <w:tmpl w:val="F13E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21352"/>
    <w:multiLevelType w:val="multilevel"/>
    <w:tmpl w:val="DC6A5C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4C1989"/>
    <w:multiLevelType w:val="hybridMultilevel"/>
    <w:tmpl w:val="B6D2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D720C"/>
    <w:multiLevelType w:val="hybridMultilevel"/>
    <w:tmpl w:val="69EC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552DD"/>
    <w:multiLevelType w:val="multilevel"/>
    <w:tmpl w:val="6D500C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D87442"/>
    <w:multiLevelType w:val="hybridMultilevel"/>
    <w:tmpl w:val="C8D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C3A67"/>
    <w:multiLevelType w:val="multilevel"/>
    <w:tmpl w:val="8C0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12DDE"/>
    <w:multiLevelType w:val="multilevel"/>
    <w:tmpl w:val="A154C0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7F22F4"/>
    <w:multiLevelType w:val="multilevel"/>
    <w:tmpl w:val="50AC3D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F319DB"/>
    <w:multiLevelType w:val="multilevel"/>
    <w:tmpl w:val="38E86B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00F6A"/>
    <w:multiLevelType w:val="multilevel"/>
    <w:tmpl w:val="1F1A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D7CA5"/>
    <w:multiLevelType w:val="multilevel"/>
    <w:tmpl w:val="3A98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00382F"/>
    <w:multiLevelType w:val="multilevel"/>
    <w:tmpl w:val="3266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69562B"/>
    <w:multiLevelType w:val="multilevel"/>
    <w:tmpl w:val="1D8C02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0A7B99"/>
    <w:multiLevelType w:val="hybridMultilevel"/>
    <w:tmpl w:val="0398302C"/>
    <w:lvl w:ilvl="0" w:tplc="76D098EA">
      <w:start w:val="1"/>
      <w:numFmt w:val="decimal"/>
      <w:lvlText w:val="%1."/>
      <w:lvlJc w:val="left"/>
      <w:pPr>
        <w:ind w:left="686" w:hanging="567"/>
      </w:pPr>
      <w:rPr>
        <w:rFonts w:ascii="Calibri" w:eastAsia="Calibri" w:hAnsi="Calibri" w:cs="Calibri" w:hint="default"/>
        <w:b w:val="0"/>
        <w:bCs w:val="0"/>
        <w:i w:val="0"/>
        <w:iCs w:val="0"/>
        <w:color w:val="333339"/>
        <w:spacing w:val="0"/>
        <w:w w:val="100"/>
        <w:sz w:val="24"/>
        <w:szCs w:val="24"/>
        <w:lang w:val="en-US" w:eastAsia="en-US" w:bidi="ar-SA"/>
      </w:rPr>
    </w:lvl>
    <w:lvl w:ilvl="1" w:tplc="C1B036F4">
      <w:numFmt w:val="bullet"/>
      <w:lvlText w:val="•"/>
      <w:lvlJc w:val="left"/>
      <w:pPr>
        <w:ind w:left="1236" w:hanging="564"/>
      </w:pPr>
      <w:rPr>
        <w:rFonts w:ascii="Arial" w:eastAsia="Arial" w:hAnsi="Arial" w:cs="Arial" w:hint="default"/>
        <w:spacing w:val="0"/>
        <w:w w:val="100"/>
        <w:lang w:val="en-US" w:eastAsia="en-US" w:bidi="ar-SA"/>
      </w:rPr>
    </w:lvl>
    <w:lvl w:ilvl="2" w:tplc="C1D0DBBC">
      <w:numFmt w:val="bullet"/>
      <w:lvlText w:val="•"/>
      <w:lvlJc w:val="left"/>
      <w:pPr>
        <w:ind w:left="1240" w:hanging="564"/>
      </w:pPr>
      <w:rPr>
        <w:rFonts w:hint="default"/>
        <w:lang w:val="en-US" w:eastAsia="en-US" w:bidi="ar-SA"/>
      </w:rPr>
    </w:lvl>
    <w:lvl w:ilvl="3" w:tplc="3D1CDE2C">
      <w:numFmt w:val="bullet"/>
      <w:lvlText w:val="•"/>
      <w:lvlJc w:val="left"/>
      <w:pPr>
        <w:ind w:left="1260" w:hanging="564"/>
      </w:pPr>
      <w:rPr>
        <w:rFonts w:hint="default"/>
        <w:lang w:val="en-US" w:eastAsia="en-US" w:bidi="ar-SA"/>
      </w:rPr>
    </w:lvl>
    <w:lvl w:ilvl="4" w:tplc="D4F2C7D0">
      <w:numFmt w:val="bullet"/>
      <w:lvlText w:val="•"/>
      <w:lvlJc w:val="left"/>
      <w:pPr>
        <w:ind w:left="2591" w:hanging="564"/>
      </w:pPr>
      <w:rPr>
        <w:rFonts w:hint="default"/>
        <w:lang w:val="en-US" w:eastAsia="en-US" w:bidi="ar-SA"/>
      </w:rPr>
    </w:lvl>
    <w:lvl w:ilvl="5" w:tplc="07D4C446">
      <w:numFmt w:val="bullet"/>
      <w:lvlText w:val="•"/>
      <w:lvlJc w:val="left"/>
      <w:pPr>
        <w:ind w:left="3922" w:hanging="564"/>
      </w:pPr>
      <w:rPr>
        <w:rFonts w:hint="default"/>
        <w:lang w:val="en-US" w:eastAsia="en-US" w:bidi="ar-SA"/>
      </w:rPr>
    </w:lvl>
    <w:lvl w:ilvl="6" w:tplc="439C02B2">
      <w:numFmt w:val="bullet"/>
      <w:lvlText w:val="•"/>
      <w:lvlJc w:val="left"/>
      <w:pPr>
        <w:ind w:left="5253" w:hanging="564"/>
      </w:pPr>
      <w:rPr>
        <w:rFonts w:hint="default"/>
        <w:lang w:val="en-US" w:eastAsia="en-US" w:bidi="ar-SA"/>
      </w:rPr>
    </w:lvl>
    <w:lvl w:ilvl="7" w:tplc="E49833A2">
      <w:numFmt w:val="bullet"/>
      <w:lvlText w:val="•"/>
      <w:lvlJc w:val="left"/>
      <w:pPr>
        <w:ind w:left="6585" w:hanging="564"/>
      </w:pPr>
      <w:rPr>
        <w:rFonts w:hint="default"/>
        <w:lang w:val="en-US" w:eastAsia="en-US" w:bidi="ar-SA"/>
      </w:rPr>
    </w:lvl>
    <w:lvl w:ilvl="8" w:tplc="3B98A46E">
      <w:numFmt w:val="bullet"/>
      <w:lvlText w:val="•"/>
      <w:lvlJc w:val="left"/>
      <w:pPr>
        <w:ind w:left="7916" w:hanging="564"/>
      </w:pPr>
      <w:rPr>
        <w:rFonts w:hint="default"/>
        <w:lang w:val="en-US" w:eastAsia="en-US" w:bidi="ar-SA"/>
      </w:rPr>
    </w:lvl>
  </w:abstractNum>
  <w:abstractNum w:abstractNumId="23" w15:restartNumberingAfterBreak="0">
    <w:nsid w:val="72A2055E"/>
    <w:multiLevelType w:val="hybridMultilevel"/>
    <w:tmpl w:val="B5E6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3678D"/>
    <w:multiLevelType w:val="multilevel"/>
    <w:tmpl w:val="A72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38492B"/>
    <w:multiLevelType w:val="hybridMultilevel"/>
    <w:tmpl w:val="6D0E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770540">
    <w:abstractNumId w:val="7"/>
  </w:num>
  <w:num w:numId="2" w16cid:durableId="183980788">
    <w:abstractNumId w:val="4"/>
  </w:num>
  <w:num w:numId="3" w16cid:durableId="533543785">
    <w:abstractNumId w:val="22"/>
  </w:num>
  <w:num w:numId="4" w16cid:durableId="212733962">
    <w:abstractNumId w:val="2"/>
  </w:num>
  <w:num w:numId="5" w16cid:durableId="1615671607">
    <w:abstractNumId w:val="24"/>
  </w:num>
  <w:num w:numId="6" w16cid:durableId="1138642652">
    <w:abstractNumId w:val="18"/>
  </w:num>
  <w:num w:numId="7" w16cid:durableId="1330905101">
    <w:abstractNumId w:val="0"/>
  </w:num>
  <w:num w:numId="8" w16cid:durableId="1801609005">
    <w:abstractNumId w:val="20"/>
  </w:num>
  <w:num w:numId="9" w16cid:durableId="641621736">
    <w:abstractNumId w:val="1"/>
  </w:num>
  <w:num w:numId="10" w16cid:durableId="107505481">
    <w:abstractNumId w:val="12"/>
  </w:num>
  <w:num w:numId="11" w16cid:durableId="1251084273">
    <w:abstractNumId w:val="16"/>
  </w:num>
  <w:num w:numId="12" w16cid:durableId="951402177">
    <w:abstractNumId w:val="14"/>
  </w:num>
  <w:num w:numId="13" w16cid:durableId="954412718">
    <w:abstractNumId w:val="9"/>
  </w:num>
  <w:num w:numId="14" w16cid:durableId="1735009008">
    <w:abstractNumId w:val="17"/>
  </w:num>
  <w:num w:numId="15" w16cid:durableId="568880318">
    <w:abstractNumId w:val="19"/>
  </w:num>
  <w:num w:numId="16" w16cid:durableId="1766798983">
    <w:abstractNumId w:val="15"/>
  </w:num>
  <w:num w:numId="17" w16cid:durableId="183566483">
    <w:abstractNumId w:val="21"/>
  </w:num>
  <w:num w:numId="18" w16cid:durableId="700857594">
    <w:abstractNumId w:val="23"/>
  </w:num>
  <w:num w:numId="19" w16cid:durableId="166408703">
    <w:abstractNumId w:val="11"/>
  </w:num>
  <w:num w:numId="20" w16cid:durableId="203252729">
    <w:abstractNumId w:val="3"/>
  </w:num>
  <w:num w:numId="21" w16cid:durableId="2142115461">
    <w:abstractNumId w:val="5"/>
  </w:num>
  <w:num w:numId="22" w16cid:durableId="815343526">
    <w:abstractNumId w:val="8"/>
  </w:num>
  <w:num w:numId="23" w16cid:durableId="968559898">
    <w:abstractNumId w:val="10"/>
  </w:num>
  <w:num w:numId="24" w16cid:durableId="258299843">
    <w:abstractNumId w:val="6"/>
  </w:num>
  <w:num w:numId="25" w16cid:durableId="1573003555">
    <w:abstractNumId w:val="25"/>
  </w:num>
  <w:num w:numId="26" w16cid:durableId="168060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58"/>
    <w:rsid w:val="00043269"/>
    <w:rsid w:val="00074021"/>
    <w:rsid w:val="00085AA7"/>
    <w:rsid w:val="000F10EF"/>
    <w:rsid w:val="0014689A"/>
    <w:rsid w:val="001A17B3"/>
    <w:rsid w:val="002B76C7"/>
    <w:rsid w:val="0033529E"/>
    <w:rsid w:val="003B0176"/>
    <w:rsid w:val="00410B51"/>
    <w:rsid w:val="00472B79"/>
    <w:rsid w:val="00497C89"/>
    <w:rsid w:val="00503D10"/>
    <w:rsid w:val="00515D20"/>
    <w:rsid w:val="00520853"/>
    <w:rsid w:val="00540E58"/>
    <w:rsid w:val="005A259E"/>
    <w:rsid w:val="00634672"/>
    <w:rsid w:val="00653FD1"/>
    <w:rsid w:val="006C0024"/>
    <w:rsid w:val="006C5399"/>
    <w:rsid w:val="00767040"/>
    <w:rsid w:val="008409B9"/>
    <w:rsid w:val="00880FEA"/>
    <w:rsid w:val="008E06CA"/>
    <w:rsid w:val="009613B5"/>
    <w:rsid w:val="00A04AEB"/>
    <w:rsid w:val="00A27D37"/>
    <w:rsid w:val="00B1021F"/>
    <w:rsid w:val="00B85DE8"/>
    <w:rsid w:val="00BA2F85"/>
    <w:rsid w:val="00C63058"/>
    <w:rsid w:val="00C860B7"/>
    <w:rsid w:val="00CF77B3"/>
    <w:rsid w:val="00D40C1A"/>
    <w:rsid w:val="00D71944"/>
    <w:rsid w:val="00E91D78"/>
    <w:rsid w:val="00E9426E"/>
    <w:rsid w:val="00EF1CC0"/>
    <w:rsid w:val="00FC6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0164"/>
  <w15:docId w15:val="{647760B4-9BE4-49DD-81AE-3E2455EC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color w:val="54565A"/>
        <w:lang w:val="en-GB" w:eastAsia="en-GB" w:bidi="ar-SA"/>
      </w:rPr>
    </w:rPrDefault>
    <w:pPrDefault>
      <w:pPr>
        <w:shd w:val="clear" w:color="auto" w:fill="FFFFFF"/>
        <w:tabs>
          <w:tab w:val="right" w:pos="9025"/>
        </w:tabs>
        <w:spacing w:before="80" w:after="2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6E"/>
  </w:style>
  <w:style w:type="paragraph" w:styleId="Heading1">
    <w:name w:val="heading 1"/>
    <w:basedOn w:val="Normal"/>
    <w:next w:val="Normal"/>
    <w:uiPriority w:val="9"/>
    <w:qFormat/>
    <w:pPr>
      <w:keepNext/>
      <w:keepLines/>
      <w:outlineLvl w:val="0"/>
    </w:pPr>
    <w:rPr>
      <w:b/>
      <w:color w:val="345D9D"/>
      <w:sz w:val="36"/>
      <w:szCs w:val="36"/>
    </w:rPr>
  </w:style>
  <w:style w:type="paragraph" w:styleId="Heading2">
    <w:name w:val="heading 2"/>
    <w:basedOn w:val="Normal"/>
    <w:next w:val="Normal"/>
    <w:uiPriority w:val="9"/>
    <w:unhideWhenUsed/>
    <w:qFormat/>
    <w:pPr>
      <w:keepNext/>
      <w:keepLines/>
      <w:outlineLvl w:val="1"/>
    </w:pPr>
    <w:rPr>
      <w:b/>
      <w:color w:val="93D500"/>
      <w:sz w:val="36"/>
      <w:szCs w:val="36"/>
    </w:rPr>
  </w:style>
  <w:style w:type="paragraph" w:styleId="Heading3">
    <w:name w:val="heading 3"/>
    <w:basedOn w:val="Normal"/>
    <w:next w:val="Normal"/>
    <w:uiPriority w:val="9"/>
    <w:unhideWhenUsed/>
    <w:qFormat/>
    <w:pPr>
      <w:keepNext/>
      <w:keepLines/>
      <w:outlineLvl w:val="2"/>
    </w:pPr>
    <w:rPr>
      <w:b/>
      <w:color w:val="FFD100"/>
      <w:sz w:val="36"/>
      <w:szCs w:val="36"/>
    </w:rPr>
  </w:style>
  <w:style w:type="paragraph" w:styleId="Heading4">
    <w:name w:val="heading 4"/>
    <w:basedOn w:val="Normal"/>
    <w:next w:val="Normal"/>
    <w:uiPriority w:val="9"/>
    <w:semiHidden/>
    <w:unhideWhenUsed/>
    <w:qFormat/>
    <w:pPr>
      <w:keepNext/>
      <w:keepLines/>
      <w:outlineLvl w:val="3"/>
    </w:pPr>
    <w:rPr>
      <w:b/>
      <w:sz w:val="36"/>
      <w:szCs w:val="3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345D9D"/>
      <w:sz w:val="60"/>
      <w:szCs w:val="60"/>
    </w:rPr>
  </w:style>
  <w:style w:type="paragraph" w:styleId="Subtitle">
    <w:name w:val="Subtitle"/>
    <w:basedOn w:val="Normal"/>
    <w:next w:val="Normal"/>
    <w:uiPriority w:val="11"/>
    <w:qFormat/>
    <w:pPr>
      <w:keepNext/>
      <w:keepLines/>
      <w:spacing w:after="320"/>
    </w:pPr>
    <w:rPr>
      <w:b/>
      <w:sz w:val="28"/>
      <w:szCs w:val="28"/>
    </w:rPr>
  </w:style>
  <w:style w:type="paragraph" w:styleId="Header">
    <w:name w:val="header"/>
    <w:basedOn w:val="Normal"/>
    <w:link w:val="HeaderChar"/>
    <w:uiPriority w:val="99"/>
    <w:unhideWhenUsed/>
    <w:rsid w:val="006C5399"/>
    <w:pPr>
      <w:tabs>
        <w:tab w:val="clear" w:pos="9025"/>
        <w:tab w:val="center" w:pos="4513"/>
        <w:tab w:val="right" w:pos="9026"/>
      </w:tabs>
      <w:spacing w:before="0" w:after="0" w:line="240" w:lineRule="auto"/>
    </w:pPr>
  </w:style>
  <w:style w:type="character" w:customStyle="1" w:styleId="HeaderChar">
    <w:name w:val="Header Char"/>
    <w:basedOn w:val="DefaultParagraphFont"/>
    <w:link w:val="Header"/>
    <w:uiPriority w:val="99"/>
    <w:rsid w:val="006C5399"/>
    <w:rPr>
      <w:shd w:val="clear" w:color="auto" w:fill="FFFFFF"/>
    </w:rPr>
  </w:style>
  <w:style w:type="paragraph" w:styleId="Footer">
    <w:name w:val="footer"/>
    <w:basedOn w:val="Normal"/>
    <w:link w:val="FooterChar"/>
    <w:uiPriority w:val="99"/>
    <w:unhideWhenUsed/>
    <w:rsid w:val="006C5399"/>
    <w:pPr>
      <w:tabs>
        <w:tab w:val="clear" w:pos="9025"/>
        <w:tab w:val="center" w:pos="4513"/>
        <w:tab w:val="right" w:pos="9026"/>
      </w:tabs>
      <w:spacing w:before="0" w:after="0" w:line="240" w:lineRule="auto"/>
    </w:pPr>
  </w:style>
  <w:style w:type="character" w:customStyle="1" w:styleId="FooterChar">
    <w:name w:val="Footer Char"/>
    <w:basedOn w:val="DefaultParagraphFont"/>
    <w:link w:val="Footer"/>
    <w:uiPriority w:val="99"/>
    <w:rsid w:val="006C5399"/>
    <w:rPr>
      <w:shd w:val="clear" w:color="auto" w:fill="FFFFFF"/>
    </w:rPr>
  </w:style>
  <w:style w:type="paragraph" w:styleId="TOC1">
    <w:name w:val="toc 1"/>
    <w:basedOn w:val="Normal"/>
    <w:next w:val="Normal"/>
    <w:autoRedefine/>
    <w:uiPriority w:val="39"/>
    <w:unhideWhenUsed/>
    <w:rsid w:val="00D71944"/>
    <w:pPr>
      <w:tabs>
        <w:tab w:val="clear" w:pos="9025"/>
      </w:tabs>
      <w:spacing w:after="100"/>
    </w:pPr>
  </w:style>
  <w:style w:type="paragraph" w:styleId="TOC2">
    <w:name w:val="toc 2"/>
    <w:basedOn w:val="Normal"/>
    <w:next w:val="Normal"/>
    <w:autoRedefine/>
    <w:uiPriority w:val="39"/>
    <w:unhideWhenUsed/>
    <w:rsid w:val="00D71944"/>
    <w:pPr>
      <w:tabs>
        <w:tab w:val="clear" w:pos="9025"/>
      </w:tabs>
      <w:spacing w:after="100"/>
      <w:ind w:left="200"/>
    </w:pPr>
  </w:style>
  <w:style w:type="paragraph" w:styleId="TOC3">
    <w:name w:val="toc 3"/>
    <w:basedOn w:val="Normal"/>
    <w:next w:val="Normal"/>
    <w:autoRedefine/>
    <w:uiPriority w:val="39"/>
    <w:unhideWhenUsed/>
    <w:rsid w:val="00D71944"/>
    <w:pPr>
      <w:tabs>
        <w:tab w:val="clear" w:pos="9025"/>
      </w:tabs>
      <w:spacing w:after="100"/>
      <w:ind w:left="400"/>
    </w:pPr>
  </w:style>
  <w:style w:type="character" w:styleId="Hyperlink">
    <w:name w:val="Hyperlink"/>
    <w:basedOn w:val="DefaultParagraphFont"/>
    <w:uiPriority w:val="99"/>
    <w:unhideWhenUsed/>
    <w:rsid w:val="00D71944"/>
    <w:rPr>
      <w:color w:val="0000FF" w:themeColor="hyperlink"/>
      <w:u w:val="single"/>
    </w:rPr>
  </w:style>
  <w:style w:type="table" w:styleId="TableGrid">
    <w:name w:val="Table Grid"/>
    <w:basedOn w:val="TableNormal"/>
    <w:uiPriority w:val="39"/>
    <w:rsid w:val="00EF1CC0"/>
    <w:pPr>
      <w:shd w:val="clear" w:color="auto" w:fill="auto"/>
      <w:tabs>
        <w:tab w:val="clear" w:pos="9025"/>
      </w:tabs>
      <w:spacing w:before="60" w:after="180" w:line="240" w:lineRule="auto"/>
      <w:jc w:val="left"/>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1CC0"/>
    <w:pPr>
      <w:shd w:val="clear" w:color="auto" w:fill="auto"/>
      <w:tabs>
        <w:tab w:val="clear" w:pos="9025"/>
      </w:tabs>
      <w:spacing w:before="0" w:after="120" w:line="240" w:lineRule="auto"/>
      <w:ind w:left="720"/>
      <w:contextualSpacing/>
      <w:jc w:val="left"/>
    </w:pPr>
    <w:rPr>
      <w:rFonts w:ascii="Arial" w:eastAsia="MS Mincho" w:hAnsi="Arial" w:cs="Times New Roman"/>
      <w:color w:val="auto"/>
      <w:szCs w:val="24"/>
      <w:lang w:val="en-US" w:eastAsia="en-US"/>
    </w:rPr>
  </w:style>
  <w:style w:type="paragraph" w:styleId="BodyText">
    <w:name w:val="Body Text"/>
    <w:basedOn w:val="Normal"/>
    <w:link w:val="BodyTextChar"/>
    <w:uiPriority w:val="1"/>
    <w:qFormat/>
    <w:rsid w:val="00085AA7"/>
    <w:pPr>
      <w:widowControl w:val="0"/>
      <w:shd w:val="clear" w:color="auto" w:fill="auto"/>
      <w:tabs>
        <w:tab w:val="clear" w:pos="9025"/>
      </w:tabs>
      <w:autoSpaceDE w:val="0"/>
      <w:autoSpaceDN w:val="0"/>
      <w:spacing w:before="0" w:after="0" w:line="240" w:lineRule="auto"/>
      <w:jc w:val="left"/>
    </w:pPr>
    <w:rPr>
      <w:rFonts w:ascii="Calibri" w:eastAsia="Calibri" w:hAnsi="Calibri" w:cs="Calibri"/>
      <w:color w:val="auto"/>
      <w:sz w:val="24"/>
      <w:szCs w:val="24"/>
      <w:lang w:val="en-US" w:eastAsia="en-US"/>
    </w:rPr>
  </w:style>
  <w:style w:type="character" w:customStyle="1" w:styleId="BodyTextChar">
    <w:name w:val="Body Text Char"/>
    <w:basedOn w:val="DefaultParagraphFont"/>
    <w:link w:val="BodyText"/>
    <w:uiPriority w:val="1"/>
    <w:rsid w:val="00085AA7"/>
    <w:rPr>
      <w:rFonts w:ascii="Calibri" w:eastAsia="Calibri" w:hAnsi="Calibri" w:cs="Calibri"/>
      <w:color w:val="auto"/>
      <w:sz w:val="24"/>
      <w:szCs w:val="24"/>
      <w:lang w:val="en-US" w:eastAsia="en-US"/>
    </w:rPr>
  </w:style>
  <w:style w:type="paragraph" w:styleId="NormalWeb">
    <w:name w:val="Normal (Web)"/>
    <w:basedOn w:val="Normal"/>
    <w:uiPriority w:val="99"/>
    <w:unhideWhenUsed/>
    <w:rsid w:val="000F10EF"/>
    <w:pPr>
      <w:shd w:val="clear" w:color="auto" w:fill="auto"/>
      <w:tabs>
        <w:tab w:val="clear" w:pos="9025"/>
      </w:tabs>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F10EF"/>
    <w:rPr>
      <w:b/>
      <w:bCs/>
    </w:rPr>
  </w:style>
  <w:style w:type="paragraph" w:styleId="NoSpacing">
    <w:name w:val="No Spacing"/>
    <w:uiPriority w:val="1"/>
    <w:qFormat/>
    <w:rsid w:val="00767040"/>
    <w:pPr>
      <w:shd w:val="clear" w:color="auto" w:fill="auto"/>
      <w:tabs>
        <w:tab w:val="clear" w:pos="9025"/>
      </w:tabs>
      <w:spacing w:before="0" w:after="0" w:line="240" w:lineRule="auto"/>
      <w:jc w:val="left"/>
    </w:pPr>
    <w:rPr>
      <w:rFonts w:eastAsiaTheme="minorHAnsi" w:cstheme="minorBidi"/>
      <w:color w:val="auto"/>
      <w:kern w:val="2"/>
      <w:sz w:val="24"/>
      <w:szCs w:val="24"/>
      <w:lang w:eastAsia="en-US"/>
      <w14:ligatures w14:val="standardContextual"/>
    </w:rPr>
  </w:style>
  <w:style w:type="character" w:styleId="UnresolvedMention">
    <w:name w:val="Unresolved Mention"/>
    <w:basedOn w:val="DefaultParagraphFont"/>
    <w:uiPriority w:val="99"/>
    <w:semiHidden/>
    <w:unhideWhenUsed/>
    <w:rsid w:val="00767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4998">
      <w:bodyDiv w:val="1"/>
      <w:marLeft w:val="0"/>
      <w:marRight w:val="0"/>
      <w:marTop w:val="0"/>
      <w:marBottom w:val="0"/>
      <w:divBdr>
        <w:top w:val="none" w:sz="0" w:space="0" w:color="auto"/>
        <w:left w:val="none" w:sz="0" w:space="0" w:color="auto"/>
        <w:bottom w:val="none" w:sz="0" w:space="0" w:color="auto"/>
        <w:right w:val="none" w:sz="0" w:space="0" w:color="auto"/>
      </w:divBdr>
    </w:div>
    <w:div w:id="458651714">
      <w:bodyDiv w:val="1"/>
      <w:marLeft w:val="0"/>
      <w:marRight w:val="0"/>
      <w:marTop w:val="0"/>
      <w:marBottom w:val="0"/>
      <w:divBdr>
        <w:top w:val="none" w:sz="0" w:space="0" w:color="auto"/>
        <w:left w:val="none" w:sz="0" w:space="0" w:color="auto"/>
        <w:bottom w:val="none" w:sz="0" w:space="0" w:color="auto"/>
        <w:right w:val="none" w:sz="0" w:space="0" w:color="auto"/>
      </w:divBdr>
    </w:div>
    <w:div w:id="757478356">
      <w:bodyDiv w:val="1"/>
      <w:marLeft w:val="0"/>
      <w:marRight w:val="0"/>
      <w:marTop w:val="0"/>
      <w:marBottom w:val="0"/>
      <w:divBdr>
        <w:top w:val="none" w:sz="0" w:space="0" w:color="auto"/>
        <w:left w:val="none" w:sz="0" w:space="0" w:color="auto"/>
        <w:bottom w:val="none" w:sz="0" w:space="0" w:color="auto"/>
        <w:right w:val="none" w:sz="0" w:space="0" w:color="auto"/>
      </w:divBdr>
    </w:div>
    <w:div w:id="128373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3A%2F%2Fwww.educationsupport.org.uk%2F&amp;data=05%7C01%7Ceedwards%40creatingtomorrowtrust.co.uk%7Cf7c8caee60664776a9c608dad92f5f17%7Ce54a7cead4de45ac89a5e7cd62558b96%7C0%7C0%7C638061094719339606%7CUnknown%7CTWFpbGZsb3d8eyJWIjoiMC4wLjAwMDAiLCJQIjoiV2luMzIiLCJBTiI6Ik1haWwiLCJXVCI6Mn0%3D%7C3000%7C%7C%7C&amp;sdata=u%2B%2BZK%2BNwL0IHJCmWuQ3NNRJJB3Ldz6bPWh54IulgkhQ%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rsary@creatingtomorrowcolle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261558A1B1148AF1E213878AADC9E" ma:contentTypeVersion="16" ma:contentTypeDescription="Create a new document." ma:contentTypeScope="" ma:versionID="d41ce3bc22f5c3371dc9f2d75c108a91">
  <xsd:schema xmlns:xsd="http://www.w3.org/2001/XMLSchema" xmlns:xs="http://www.w3.org/2001/XMLSchema" xmlns:p="http://schemas.microsoft.com/office/2006/metadata/properties" xmlns:ns3="ffdd1e51-6883-4a18-9854-045c67f6a91a" xmlns:ns4="6bf1bc49-0995-45cc-9e7b-8b2c78f78b45" targetNamespace="http://schemas.microsoft.com/office/2006/metadata/properties" ma:root="true" ma:fieldsID="d3dbc832a3169b947fe4f02a680e6fde" ns3:_="" ns4:_="">
    <xsd:import namespace="ffdd1e51-6883-4a18-9854-045c67f6a91a"/>
    <xsd:import namespace="6bf1bc49-0995-45cc-9e7b-8b2c78f78b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d1e51-6883-4a18-9854-045c67f6a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1bc49-0995-45cc-9e7b-8b2c78f78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fdd1e51-6883-4a18-9854-045c67f6a91a" xsi:nil="true"/>
  </documentManagement>
</p:properties>
</file>

<file path=customXml/itemProps1.xml><?xml version="1.0" encoding="utf-8"?>
<ds:datastoreItem xmlns:ds="http://schemas.openxmlformats.org/officeDocument/2006/customXml" ds:itemID="{AEB16B86-0BE2-4D94-9E63-00B5ED467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d1e51-6883-4a18-9854-045c67f6a91a"/>
    <ds:schemaRef ds:uri="6bf1bc49-0995-45cc-9e7b-8b2c78f78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77543-AA82-48F8-8E04-FBB870A27EB0}">
  <ds:schemaRefs>
    <ds:schemaRef ds:uri="http://schemas.openxmlformats.org/officeDocument/2006/bibliography"/>
  </ds:schemaRefs>
</ds:datastoreItem>
</file>

<file path=customXml/itemProps3.xml><?xml version="1.0" encoding="utf-8"?>
<ds:datastoreItem xmlns:ds="http://schemas.openxmlformats.org/officeDocument/2006/customXml" ds:itemID="{9AFE252D-F988-4164-A6D3-4F66AD804245}">
  <ds:schemaRefs>
    <ds:schemaRef ds:uri="http://schemas.microsoft.com/sharepoint/v3/contenttype/forms"/>
  </ds:schemaRefs>
</ds:datastoreItem>
</file>

<file path=customXml/itemProps4.xml><?xml version="1.0" encoding="utf-8"?>
<ds:datastoreItem xmlns:ds="http://schemas.openxmlformats.org/officeDocument/2006/customXml" ds:itemID="{A996A4F6-F678-4C9F-900D-11C3A278211B}">
  <ds:schemaRefs>
    <ds:schemaRef ds:uri="http://schemas.microsoft.com/office/2006/metadata/properties"/>
    <ds:schemaRef ds:uri="http://schemas.microsoft.com/office/infopath/2007/PartnerControls"/>
    <ds:schemaRef ds:uri="ffdd1e51-6883-4a18-9854-045c67f6a91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Ivett</dc:creator>
  <cp:lastModifiedBy>Gareth Ivett</cp:lastModifiedBy>
  <cp:revision>3</cp:revision>
  <cp:lastPrinted>2025-09-11T13:46:00Z</cp:lastPrinted>
  <dcterms:created xsi:type="dcterms:W3CDTF">2025-09-11T13:34:00Z</dcterms:created>
  <dcterms:modified xsi:type="dcterms:W3CDTF">2025-09-11T14:05:00Z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0x010100E14261558A1B1148AF1E213878AADC9E</vt:lpwstr>
  </property>
</Properties>
</file>